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b/>
          <w:color w:val="000000"/>
          <w:sz w:val="44"/>
          <w:szCs w:val="44"/>
        </w:rPr>
      </w:pPr>
      <w:bookmarkStart w:id="0" w:name="_GoBack"/>
      <w:bookmarkEnd w:id="0"/>
    </w:p>
    <w:p>
      <w:pPr>
        <w:widowControl/>
        <w:spacing w:line="360" w:lineRule="auto"/>
        <w:jc w:val="center"/>
        <w:rPr>
          <w:rFonts w:hint="eastAsia" w:ascii="宋体" w:hAnsi="宋体" w:cs="宋体"/>
          <w:b/>
          <w:bCs/>
          <w:color w:val="000000"/>
          <w:kern w:val="0"/>
          <w:sz w:val="44"/>
          <w:szCs w:val="44"/>
        </w:rPr>
      </w:pPr>
      <w:r>
        <w:rPr>
          <w:rFonts w:hint="eastAsia" w:ascii="宋体" w:hAnsi="宋体"/>
          <w:b/>
          <w:color w:val="000000"/>
          <w:sz w:val="44"/>
          <w:szCs w:val="44"/>
        </w:rPr>
        <w:t>放射诊疗</w:t>
      </w:r>
      <w:r>
        <w:rPr>
          <w:rFonts w:hint="eastAsia" w:ascii="宋体" w:hAnsi="宋体" w:cs="宋体"/>
          <w:b/>
          <w:bCs/>
          <w:color w:val="000000"/>
          <w:kern w:val="0"/>
          <w:sz w:val="44"/>
          <w:szCs w:val="44"/>
        </w:rPr>
        <w:t>建设项目卫生审查管理规定</w:t>
      </w:r>
    </w:p>
    <w:p>
      <w:pPr>
        <w:widowControl/>
        <w:spacing w:before="120" w:beforeLines="50" w:line="360" w:lineRule="auto"/>
        <w:ind w:firstLine="640" w:firstLineChars="200"/>
        <w:jc w:val="left"/>
        <w:rPr>
          <w:rFonts w:hint="eastAsia" w:ascii="仿宋_GB2312" w:hAnsi="宋体" w:eastAsia="仿宋_GB2312"/>
          <w:sz w:val="32"/>
          <w:szCs w:val="32"/>
        </w:rPr>
      </w:pPr>
    </w:p>
    <w:p>
      <w:pPr>
        <w:widowControl/>
        <w:spacing w:before="120" w:beforeLines="50" w:line="360" w:lineRule="auto"/>
        <w:ind w:firstLine="640" w:firstLineChars="200"/>
        <w:jc w:val="left"/>
        <w:rPr>
          <w:rFonts w:hint="eastAsia" w:ascii="仿宋_GB2312" w:hAnsi="宋体" w:eastAsia="仿宋_GB2312" w:cs="宋体"/>
          <w:kern w:val="0"/>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为进一步</w:t>
      </w:r>
      <w:r>
        <w:rPr>
          <w:rFonts w:hint="eastAsia" w:ascii="仿宋_GB2312" w:hAnsi="宋体" w:eastAsia="仿宋_GB2312" w:cs="宋体"/>
          <w:kern w:val="0"/>
          <w:sz w:val="32"/>
          <w:szCs w:val="32"/>
        </w:rPr>
        <w:t>规范</w:t>
      </w:r>
      <w:r>
        <w:rPr>
          <w:rFonts w:hint="eastAsia" w:ascii="仿宋_GB2312" w:hAnsi="宋体" w:eastAsia="仿宋_GB2312"/>
          <w:sz w:val="32"/>
          <w:szCs w:val="32"/>
        </w:rPr>
        <w:t>放射诊疗</w:t>
      </w:r>
      <w:r>
        <w:rPr>
          <w:rFonts w:hint="eastAsia" w:ascii="仿宋_GB2312" w:hAnsi="宋体" w:eastAsia="仿宋_GB2312" w:cs="宋体"/>
          <w:bCs/>
          <w:kern w:val="0"/>
          <w:sz w:val="32"/>
          <w:szCs w:val="32"/>
        </w:rPr>
        <w:t>建设项目卫生审查管理</w:t>
      </w:r>
      <w:r>
        <w:rPr>
          <w:rFonts w:hint="eastAsia" w:ascii="仿宋_GB2312" w:hAnsi="宋体" w:eastAsia="仿宋_GB2312" w:cs="宋体"/>
          <w:kern w:val="0"/>
          <w:sz w:val="32"/>
          <w:szCs w:val="32"/>
        </w:rPr>
        <w:t>工作，根据《</w:t>
      </w:r>
      <w:r>
        <w:rPr>
          <w:rFonts w:hint="eastAsia" w:ascii="仿宋_GB2312" w:hAnsi="宋体" w:eastAsia="仿宋_GB2312"/>
          <w:sz w:val="32"/>
          <w:szCs w:val="32"/>
        </w:rPr>
        <w:t>中华人民共和国</w:t>
      </w:r>
      <w:r>
        <w:rPr>
          <w:rFonts w:hint="eastAsia" w:ascii="仿宋_GB2312" w:hAnsi="宋体" w:eastAsia="仿宋_GB2312" w:cs="宋体"/>
          <w:kern w:val="0"/>
          <w:sz w:val="32"/>
          <w:szCs w:val="32"/>
        </w:rPr>
        <w:t>职业病防治法》、《放射性同位素与射线装置安全和防护条例》和《放射诊疗管理规定》</w:t>
      </w:r>
      <w:r>
        <w:rPr>
          <w:rFonts w:hint="eastAsia" w:ascii="仿宋_GB2312" w:hAnsi="宋体" w:eastAsia="仿宋_GB2312"/>
          <w:sz w:val="32"/>
          <w:szCs w:val="32"/>
        </w:rPr>
        <w:t>等法律、法规和规章</w:t>
      </w:r>
      <w:r>
        <w:rPr>
          <w:rFonts w:hint="eastAsia" w:ascii="仿宋_GB2312" w:hAnsi="宋体" w:eastAsia="仿宋_GB2312" w:cs="宋体"/>
          <w:kern w:val="0"/>
          <w:sz w:val="32"/>
          <w:szCs w:val="32"/>
        </w:rPr>
        <w:t>，制定本规定。</w:t>
      </w:r>
    </w:p>
    <w:p>
      <w:pPr>
        <w:tabs>
          <w:tab w:val="left" w:pos="1440"/>
          <w:tab w:val="left" w:pos="1800"/>
        </w:tabs>
        <w:spacing w:line="360" w:lineRule="auto"/>
        <w:ind w:firstLine="640" w:firstLineChars="200"/>
        <w:rPr>
          <w:rFonts w:hint="eastAsia" w:ascii="仿宋_GB2312" w:hAnsi="宋体" w:eastAsia="仿宋_GB2312" w:cs="宋体"/>
          <w:kern w:val="0"/>
          <w:sz w:val="32"/>
          <w:szCs w:val="32"/>
        </w:rPr>
      </w:pPr>
      <w:r>
        <w:rPr>
          <w:rFonts w:hint="eastAsia" w:ascii="黑体" w:hAnsi="宋体" w:eastAsia="黑体"/>
          <w:sz w:val="32"/>
          <w:szCs w:val="32"/>
        </w:rPr>
        <w:t>第二条</w:t>
      </w:r>
      <w:r>
        <w:rPr>
          <w:rFonts w:hint="eastAsia" w:ascii="仿宋_GB2312" w:hAnsi="宋体" w:eastAsia="仿宋_GB2312" w:cs="宋体"/>
          <w:kern w:val="0"/>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Arial"/>
          <w:kern w:val="0"/>
          <w:sz w:val="32"/>
          <w:szCs w:val="32"/>
        </w:rPr>
        <w:t>本规定适用于</w:t>
      </w:r>
      <w:r>
        <w:rPr>
          <w:rFonts w:hint="eastAsia" w:ascii="仿宋_GB2312" w:hAnsi="宋体" w:eastAsia="仿宋_GB2312" w:cs="宋体"/>
          <w:kern w:val="0"/>
          <w:sz w:val="32"/>
          <w:szCs w:val="32"/>
        </w:rPr>
        <w:t>放射诊疗建设项目的职业病危害放射防护评价审核、放射防护设施竣工验收等</w:t>
      </w:r>
      <w:r>
        <w:rPr>
          <w:rFonts w:hint="eastAsia" w:ascii="仿宋_GB2312" w:hAnsi="Verdana" w:eastAsia="仿宋_GB2312" w:cs="宋体"/>
          <w:kern w:val="0"/>
          <w:sz w:val="32"/>
          <w:szCs w:val="32"/>
        </w:rPr>
        <w:t>卫生审查活动</w:t>
      </w:r>
      <w:r>
        <w:rPr>
          <w:rFonts w:hint="eastAsia" w:ascii="仿宋_GB2312" w:hAnsi="宋体" w:eastAsia="仿宋_GB2312" w:cs="宋体"/>
          <w:kern w:val="0"/>
          <w:sz w:val="32"/>
          <w:szCs w:val="32"/>
        </w:rPr>
        <w:t>。</w:t>
      </w:r>
    </w:p>
    <w:p>
      <w:pPr>
        <w:tabs>
          <w:tab w:val="left" w:pos="1440"/>
          <w:tab w:val="left" w:pos="1800"/>
        </w:tabs>
        <w:spacing w:line="360" w:lineRule="auto"/>
        <w:ind w:firstLine="640" w:firstLineChars="200"/>
        <w:rPr>
          <w:rFonts w:hint="eastAsia" w:ascii="仿宋_GB2312" w:hAnsi="Verdana" w:eastAsia="仿宋_GB2312" w:cs="宋体"/>
          <w:kern w:val="0"/>
          <w:sz w:val="32"/>
          <w:szCs w:val="32"/>
        </w:rPr>
      </w:pPr>
      <w:r>
        <w:rPr>
          <w:rFonts w:hint="eastAsia" w:ascii="黑体" w:hAnsi="宋体" w:eastAsia="黑体"/>
          <w:sz w:val="32"/>
          <w:szCs w:val="32"/>
        </w:rPr>
        <w:t>第三条</w:t>
      </w:r>
      <w:r>
        <w:rPr>
          <w:rFonts w:hint="eastAsia" w:ascii="仿宋_GB2312" w:hAnsi="宋体" w:eastAsia="仿宋_GB2312"/>
          <w:sz w:val="32"/>
          <w:szCs w:val="32"/>
        </w:rPr>
        <w:t xml:space="preserve">  </w:t>
      </w:r>
      <w:r>
        <w:rPr>
          <w:rFonts w:hint="eastAsia" w:ascii="仿宋_GB2312" w:hAnsi="宋体" w:eastAsia="仿宋_GB2312" w:cs="宋体"/>
          <w:kern w:val="0"/>
          <w:sz w:val="32"/>
          <w:szCs w:val="32"/>
        </w:rPr>
        <w:t>县级以上地方卫生行政部门</w:t>
      </w:r>
      <w:r>
        <w:rPr>
          <w:rFonts w:hint="eastAsia" w:ascii="仿宋_GB2312" w:hAnsi="宋体" w:eastAsia="仿宋_GB2312" w:cs="Arial"/>
          <w:kern w:val="0"/>
          <w:sz w:val="32"/>
          <w:szCs w:val="32"/>
        </w:rPr>
        <w:t>负责本辖区</w:t>
      </w:r>
      <w:r>
        <w:rPr>
          <w:rFonts w:hint="eastAsia" w:ascii="仿宋_GB2312" w:hAnsi="宋体" w:eastAsia="仿宋_GB2312" w:cs="宋体"/>
          <w:kern w:val="0"/>
          <w:sz w:val="32"/>
          <w:szCs w:val="32"/>
        </w:rPr>
        <w:t>放射诊疗建设项目的卫生审查</w:t>
      </w:r>
      <w:r>
        <w:rPr>
          <w:rFonts w:hint="eastAsia" w:ascii="仿宋_GB2312" w:hAnsi="宋体" w:eastAsia="仿宋_GB2312" w:cs="Arial"/>
          <w:kern w:val="0"/>
          <w:sz w:val="32"/>
          <w:szCs w:val="32"/>
        </w:rPr>
        <w:t>。</w:t>
      </w:r>
    </w:p>
    <w:p>
      <w:pPr>
        <w:tabs>
          <w:tab w:val="left" w:pos="1440"/>
          <w:tab w:val="left" w:pos="1800"/>
        </w:tabs>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省级卫生行政部门负责放射治疗、核医学建设项目的卫生审查。</w:t>
      </w:r>
    </w:p>
    <w:p>
      <w:pPr>
        <w:tabs>
          <w:tab w:val="left" w:pos="1440"/>
          <w:tab w:val="left" w:pos="1800"/>
        </w:tabs>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地市级卫生行政部门负责介入放射学建设项目的卫生审查。</w:t>
      </w:r>
    </w:p>
    <w:p>
      <w:pPr>
        <w:tabs>
          <w:tab w:val="left" w:pos="1440"/>
          <w:tab w:val="left" w:pos="1800"/>
        </w:tabs>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县区级卫生行政部门负责X射线影像诊断建设项目的卫生审查。</w:t>
      </w:r>
    </w:p>
    <w:p>
      <w:pPr>
        <w:tabs>
          <w:tab w:val="left" w:pos="1440"/>
          <w:tab w:val="left" w:pos="1800"/>
        </w:tabs>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同一医疗机构有不同类别放射诊疗建设项目的卫生审查由具有高类别审批权限的卫生行政部门负责。</w:t>
      </w:r>
    </w:p>
    <w:p>
      <w:pPr>
        <w:tabs>
          <w:tab w:val="left" w:pos="1440"/>
          <w:tab w:val="left" w:pos="1800"/>
        </w:tabs>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省级卫生行政部门可以根据本地区实际情况，调整审批权限。</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黑体" w:hAnsi="宋体" w:eastAsia="黑体"/>
          <w:sz w:val="32"/>
          <w:szCs w:val="32"/>
        </w:rPr>
        <w:t>第四条</w:t>
      </w:r>
      <w:r>
        <w:rPr>
          <w:rFonts w:hint="eastAsia" w:ascii="仿宋_GB2312" w:hAnsi="宋体" w:eastAsia="仿宋_GB2312"/>
          <w:sz w:val="32"/>
          <w:szCs w:val="32"/>
        </w:rPr>
        <w:t xml:space="preserve">  </w:t>
      </w:r>
      <w:r>
        <w:rPr>
          <w:rFonts w:hint="eastAsia" w:ascii="仿宋_GB2312" w:hAnsi="宋体" w:eastAsia="仿宋_GB2312" w:cs="宋体"/>
          <w:kern w:val="0"/>
          <w:sz w:val="32"/>
          <w:szCs w:val="32"/>
        </w:rPr>
        <w:t>放射诊疗</w:t>
      </w:r>
      <w:r>
        <w:rPr>
          <w:rFonts w:hint="eastAsia" w:ascii="仿宋_GB2312" w:hAnsi="Verdana" w:eastAsia="仿宋_GB2312" w:cs="宋体"/>
          <w:kern w:val="0"/>
          <w:sz w:val="32"/>
          <w:szCs w:val="32"/>
        </w:rPr>
        <w:t>建设项目按照可能产生的</w:t>
      </w:r>
      <w:r>
        <w:rPr>
          <w:rFonts w:hint="eastAsia" w:ascii="仿宋_GB2312" w:hAnsi="宋体" w:eastAsia="仿宋_GB2312" w:cs="宋体"/>
          <w:kern w:val="0"/>
          <w:sz w:val="32"/>
          <w:szCs w:val="32"/>
        </w:rPr>
        <w:t>放射性危害程度与诊疗风险分为危害严重和危害一般两类。</w:t>
      </w:r>
    </w:p>
    <w:p>
      <w:pPr>
        <w:widowControl/>
        <w:spacing w:line="360" w:lineRule="auto"/>
        <w:ind w:firstLine="640" w:firstLineChars="200"/>
        <w:jc w:val="left"/>
        <w:rPr>
          <w:rFonts w:hint="eastAsia" w:ascii="仿宋_GB2312" w:hAnsi="Verdana" w:eastAsia="仿宋_GB2312" w:cs="宋体"/>
          <w:kern w:val="0"/>
          <w:sz w:val="32"/>
          <w:szCs w:val="32"/>
        </w:rPr>
      </w:pPr>
      <w:r>
        <w:rPr>
          <w:rFonts w:hint="eastAsia" w:ascii="仿宋_GB2312" w:hAnsi="宋体" w:eastAsia="仿宋_GB2312" w:cs="宋体"/>
          <w:kern w:val="0"/>
          <w:sz w:val="32"/>
          <w:szCs w:val="32"/>
        </w:rPr>
        <w:t>危害严重类的放射诊疗</w:t>
      </w:r>
      <w:r>
        <w:rPr>
          <w:rFonts w:hint="eastAsia" w:ascii="仿宋_GB2312" w:hAnsi="Verdana" w:eastAsia="仿宋_GB2312" w:cs="宋体"/>
          <w:kern w:val="0"/>
          <w:sz w:val="32"/>
          <w:szCs w:val="32"/>
        </w:rPr>
        <w:t>建设项目包括立体定向放射治疗装置（</w:t>
      </w:r>
      <w:r>
        <w:rPr>
          <w:rFonts w:hint="eastAsia" w:ascii="仿宋_GB2312" w:hAnsi="宋体" w:eastAsia="仿宋_GB2312" w:cs="宋体"/>
          <w:sz w:val="32"/>
          <w:szCs w:val="32"/>
        </w:rPr>
        <w:t>γ刀、X刀等）、医用加速器、质子治疗装置、重离子治疗装置、钴-60治疗机、中子治疗装置与后装治疗机等放射治疗设施</w:t>
      </w:r>
      <w:r>
        <w:rPr>
          <w:rFonts w:hint="eastAsia" w:ascii="仿宋_GB2312" w:hAnsi="Verdana" w:eastAsia="仿宋_GB2312" w:cs="宋体"/>
          <w:kern w:val="0"/>
          <w:sz w:val="32"/>
          <w:szCs w:val="32"/>
        </w:rPr>
        <w:t>，正电子发射计算机断层显像装置（PET）</w:t>
      </w:r>
      <w:r>
        <w:rPr>
          <w:rFonts w:hint="eastAsia" w:ascii="仿宋_GB2312" w:hAnsi="宋体" w:eastAsia="仿宋_GB2312" w:cs="宋体"/>
          <w:sz w:val="32"/>
          <w:szCs w:val="32"/>
        </w:rPr>
        <w:t>与单光子</w:t>
      </w:r>
      <w:r>
        <w:rPr>
          <w:rFonts w:hint="eastAsia" w:ascii="仿宋_GB2312" w:hAnsi="Verdana" w:eastAsia="仿宋_GB2312" w:cs="宋体"/>
          <w:kern w:val="0"/>
          <w:sz w:val="32"/>
          <w:szCs w:val="32"/>
        </w:rPr>
        <w:t>发射计算机断层显像装置（SPECT）及使用放射性药物进行治疗的核医学设施。</w:t>
      </w:r>
      <w:r>
        <w:rPr>
          <w:rFonts w:hint="eastAsia" w:ascii="仿宋_GB2312" w:hAnsi="宋体" w:eastAsia="仿宋_GB2312" w:cs="宋体"/>
          <w:kern w:val="0"/>
          <w:sz w:val="32"/>
          <w:szCs w:val="32"/>
        </w:rPr>
        <w:t>其他放射诊疗建设项目为</w:t>
      </w:r>
      <w:r>
        <w:rPr>
          <w:rFonts w:hint="eastAsia" w:ascii="仿宋_GB2312" w:hAnsi="Verdana" w:eastAsia="仿宋_GB2312" w:cs="宋体"/>
          <w:kern w:val="0"/>
          <w:sz w:val="32"/>
          <w:szCs w:val="32"/>
        </w:rPr>
        <w:t>危害一般类。</w:t>
      </w:r>
    </w:p>
    <w:p>
      <w:pPr>
        <w:widowControl/>
        <w:spacing w:line="360" w:lineRule="auto"/>
        <w:ind w:firstLine="640" w:firstLineChars="200"/>
        <w:rPr>
          <w:rFonts w:hint="eastAsia" w:ascii="仿宋_GB2312" w:hAnsi="宋体" w:eastAsia="仿宋_GB2312" w:cs="宋体"/>
          <w:kern w:val="0"/>
          <w:sz w:val="32"/>
          <w:szCs w:val="32"/>
        </w:rPr>
      </w:pPr>
      <w:r>
        <w:rPr>
          <w:rFonts w:hint="eastAsia" w:ascii="黑体" w:hAnsi="宋体" w:eastAsia="黑体"/>
          <w:sz w:val="32"/>
          <w:szCs w:val="32"/>
        </w:rPr>
        <w:t>第五条</w:t>
      </w:r>
      <w:r>
        <w:rPr>
          <w:rFonts w:hint="eastAsia" w:ascii="仿宋_GB2312" w:hAnsi="宋体" w:eastAsia="仿宋_GB2312"/>
          <w:sz w:val="32"/>
          <w:szCs w:val="32"/>
        </w:rPr>
        <w:t xml:space="preserve">  </w:t>
      </w:r>
      <w:r>
        <w:rPr>
          <w:rFonts w:hint="eastAsia" w:ascii="仿宋_GB2312" w:hAnsi="宋体" w:eastAsia="仿宋_GB2312" w:cs="宋体"/>
          <w:kern w:val="0"/>
          <w:sz w:val="32"/>
          <w:szCs w:val="32"/>
        </w:rPr>
        <w:t>建设单位应当在可行性论证阶段和竣工验收前分别委托具备相应</w:t>
      </w:r>
      <w:r>
        <w:rPr>
          <w:rFonts w:hint="eastAsia" w:ascii="仿宋_GB2312" w:hAnsi="宋体" w:eastAsia="仿宋_GB2312"/>
          <w:sz w:val="32"/>
          <w:szCs w:val="32"/>
        </w:rPr>
        <w:t>资质的放射卫生技术服务</w:t>
      </w:r>
      <w:r>
        <w:rPr>
          <w:rFonts w:hint="eastAsia" w:ascii="仿宋_GB2312" w:hAnsi="宋体" w:eastAsia="仿宋_GB2312" w:cs="宋体"/>
          <w:kern w:val="0"/>
          <w:sz w:val="32"/>
          <w:szCs w:val="32"/>
        </w:rPr>
        <w:t>机构</w:t>
      </w:r>
      <w:r>
        <w:rPr>
          <w:rFonts w:hint="eastAsia" w:ascii="仿宋_GB2312" w:hAnsi="Verdana" w:eastAsia="仿宋_GB2312" w:cs="宋体"/>
          <w:kern w:val="0"/>
          <w:sz w:val="32"/>
          <w:szCs w:val="32"/>
        </w:rPr>
        <w:t>编制</w:t>
      </w:r>
      <w:r>
        <w:rPr>
          <w:rFonts w:hint="eastAsia" w:ascii="仿宋_GB2312" w:hAnsi="宋体" w:eastAsia="仿宋_GB2312" w:cs="Arial"/>
          <w:bCs/>
          <w:kern w:val="0"/>
          <w:sz w:val="32"/>
          <w:szCs w:val="32"/>
        </w:rPr>
        <w:t>放射诊疗</w:t>
      </w:r>
      <w:r>
        <w:rPr>
          <w:rFonts w:hint="eastAsia" w:ascii="仿宋_GB2312" w:hAnsi="宋体" w:eastAsia="仿宋_GB2312" w:cs="宋体"/>
          <w:kern w:val="0"/>
          <w:sz w:val="32"/>
          <w:szCs w:val="32"/>
        </w:rPr>
        <w:t>建设项目职业病危害放射防护预评价报告和职业病危害控制效果放射防护评价报告。</w:t>
      </w:r>
    </w:p>
    <w:p>
      <w:pPr>
        <w:widowControl/>
        <w:spacing w:line="360" w:lineRule="auto"/>
        <w:ind w:firstLine="640" w:firstLineChars="200"/>
        <w:rPr>
          <w:rFonts w:hint="eastAsia" w:ascii="仿宋_GB2312" w:hAnsi="宋体" w:eastAsia="仿宋_GB2312" w:cs="Arial"/>
          <w:bCs/>
          <w:kern w:val="0"/>
          <w:sz w:val="32"/>
          <w:szCs w:val="32"/>
        </w:rPr>
      </w:pPr>
      <w:r>
        <w:rPr>
          <w:rFonts w:hint="eastAsia" w:ascii="仿宋_GB2312" w:hAnsi="Verdana" w:eastAsia="仿宋_GB2312" w:cs="宋体"/>
          <w:kern w:val="0"/>
          <w:sz w:val="32"/>
          <w:szCs w:val="32"/>
        </w:rPr>
        <w:t>立体定向放射治疗装置</w:t>
      </w:r>
      <w:r>
        <w:rPr>
          <w:rFonts w:hint="eastAsia" w:ascii="仿宋_GB2312" w:hAnsi="宋体" w:eastAsia="仿宋_GB2312" w:cs="宋体"/>
          <w:sz w:val="32"/>
          <w:szCs w:val="32"/>
        </w:rPr>
        <w:t>、质子治疗装置、重离子治疗装置、中子治疗装置</w:t>
      </w:r>
      <w:r>
        <w:rPr>
          <w:rFonts w:hint="eastAsia" w:ascii="仿宋_GB2312" w:hAnsi="Verdana" w:eastAsia="仿宋_GB2312" w:cs="宋体"/>
          <w:kern w:val="0"/>
          <w:sz w:val="32"/>
          <w:szCs w:val="32"/>
        </w:rPr>
        <w:t>、正电子发射计算机断层显像装置（PET）等建设项目的放射防护评价，应由取得甲级评价资质的放射卫生技术服务机构承担。</w:t>
      </w:r>
    </w:p>
    <w:p>
      <w:pPr>
        <w:widowControl/>
        <w:spacing w:line="360" w:lineRule="auto"/>
        <w:ind w:firstLine="640" w:firstLineChars="200"/>
        <w:jc w:val="left"/>
        <w:rPr>
          <w:rFonts w:hint="eastAsia" w:ascii="仿宋_GB2312" w:hAnsi="Verdana" w:eastAsia="仿宋_GB2312" w:cs="宋体"/>
          <w:kern w:val="0"/>
          <w:sz w:val="32"/>
          <w:szCs w:val="32"/>
        </w:rPr>
      </w:pPr>
      <w:r>
        <w:rPr>
          <w:rFonts w:hint="eastAsia" w:ascii="黑体" w:hAnsi="宋体" w:eastAsia="黑体"/>
          <w:sz w:val="32"/>
          <w:szCs w:val="32"/>
        </w:rPr>
        <w:t>第六条</w:t>
      </w:r>
      <w:r>
        <w:rPr>
          <w:rFonts w:hint="eastAsia" w:ascii="仿宋_GB2312" w:hAnsi="宋体" w:eastAsia="仿宋_GB2312"/>
          <w:sz w:val="32"/>
          <w:szCs w:val="32"/>
        </w:rPr>
        <w:t xml:space="preserve">  </w:t>
      </w:r>
      <w:r>
        <w:rPr>
          <w:rFonts w:hint="eastAsia" w:ascii="仿宋_GB2312" w:hAnsi="Verdana" w:eastAsia="仿宋_GB2312" w:cs="宋体"/>
          <w:kern w:val="0"/>
          <w:sz w:val="32"/>
          <w:szCs w:val="32"/>
        </w:rPr>
        <w:t>放射诊疗建设项目职业病危害放射防护评价报告分为评价报告书和评价报告表。对放射性危害严重类的建设项目，应编制评价报告书。对放射性危害一般类的建设项目，应编制评价报告表。同时具有不同</w:t>
      </w:r>
      <w:r>
        <w:rPr>
          <w:rFonts w:hint="eastAsia" w:ascii="仿宋_GB2312" w:hAnsi="宋体" w:eastAsia="仿宋_GB2312" w:cs="宋体"/>
          <w:kern w:val="0"/>
          <w:sz w:val="32"/>
          <w:szCs w:val="32"/>
        </w:rPr>
        <w:t>放射性</w:t>
      </w:r>
      <w:r>
        <w:rPr>
          <w:rFonts w:hint="eastAsia" w:ascii="仿宋_GB2312" w:hAnsi="Verdana" w:eastAsia="仿宋_GB2312" w:cs="宋体"/>
          <w:kern w:val="0"/>
          <w:sz w:val="32"/>
          <w:szCs w:val="32"/>
        </w:rPr>
        <w:t>危害类别的建设项目，应当按照危害较为</w:t>
      </w:r>
      <w:r>
        <w:rPr>
          <w:rFonts w:hint="eastAsia" w:ascii="仿宋_GB2312" w:hAnsi="宋体" w:eastAsia="仿宋_GB2312" w:cs="宋体"/>
          <w:kern w:val="0"/>
          <w:sz w:val="32"/>
          <w:szCs w:val="32"/>
        </w:rPr>
        <w:t>严重的类别</w:t>
      </w:r>
      <w:r>
        <w:rPr>
          <w:rFonts w:hint="eastAsia" w:ascii="仿宋_GB2312" w:hAnsi="Verdana" w:eastAsia="仿宋_GB2312" w:cs="宋体"/>
          <w:kern w:val="0"/>
          <w:sz w:val="32"/>
          <w:szCs w:val="32"/>
        </w:rPr>
        <w:t>编制评价报告书。</w:t>
      </w:r>
    </w:p>
    <w:p>
      <w:pPr>
        <w:widowControl/>
        <w:spacing w:line="360" w:lineRule="auto"/>
        <w:ind w:firstLine="640" w:firstLineChars="200"/>
        <w:rPr>
          <w:rFonts w:hint="eastAsia" w:ascii="仿宋_GB2312" w:hAnsi="宋体" w:eastAsia="仿宋_GB2312" w:cs="宋体"/>
          <w:kern w:val="0"/>
          <w:sz w:val="32"/>
          <w:szCs w:val="32"/>
        </w:rPr>
      </w:pPr>
      <w:r>
        <w:rPr>
          <w:rFonts w:hint="eastAsia" w:ascii="黑体" w:hAnsi="宋体" w:eastAsia="黑体"/>
          <w:sz w:val="32"/>
          <w:szCs w:val="32"/>
        </w:rPr>
        <w:t>第七条</w:t>
      </w:r>
      <w:r>
        <w:rPr>
          <w:rFonts w:hint="eastAsia" w:ascii="仿宋_GB2312" w:hAnsi="宋体" w:eastAsia="仿宋_GB2312" w:cs="Arial"/>
          <w:bCs/>
          <w:kern w:val="0"/>
          <w:sz w:val="32"/>
          <w:szCs w:val="32"/>
        </w:rPr>
        <w:t xml:space="preserve">  </w:t>
      </w:r>
      <w:r>
        <w:rPr>
          <w:rFonts w:hint="eastAsia" w:ascii="仿宋_GB2312" w:hAnsi="Verdana" w:eastAsia="仿宋_GB2312" w:cs="宋体"/>
          <w:kern w:val="0"/>
          <w:sz w:val="32"/>
          <w:szCs w:val="32"/>
        </w:rPr>
        <w:t>建设单位</w:t>
      </w:r>
      <w:r>
        <w:rPr>
          <w:rFonts w:hint="eastAsia" w:ascii="仿宋_GB2312" w:hAnsi="宋体" w:eastAsia="仿宋_GB2312" w:cs="宋体"/>
          <w:kern w:val="0"/>
          <w:sz w:val="32"/>
          <w:szCs w:val="32"/>
        </w:rPr>
        <w:t>应当在放射诊疗建设项目施工前向卫生行政部门申请建设项目职业病危害放射防护预评价审核，并提交下列资料：</w:t>
      </w:r>
    </w:p>
    <w:p>
      <w:pPr>
        <w:widowControl/>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（一）放射诊疗建设项目职业病危害放射防护预评价审核申请表；                           </w:t>
      </w:r>
    </w:p>
    <w:p>
      <w:pPr>
        <w:widowControl/>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（二）放射诊疗建设项目职业病危害放射防护预评价报告；</w:t>
      </w:r>
    </w:p>
    <w:p>
      <w:pPr>
        <w:widowControl/>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（三）委托申报的，应提供委托申报证明；</w:t>
      </w:r>
    </w:p>
    <w:p>
      <w:pPr>
        <w:widowControl/>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（四）省级卫生行政部门规定的其他资料。</w:t>
      </w:r>
    </w:p>
    <w:p>
      <w:pPr>
        <w:widowControl/>
        <w:spacing w:line="360" w:lineRule="auto"/>
        <w:ind w:firstLine="640" w:firstLineChars="200"/>
        <w:rPr>
          <w:rFonts w:hint="eastAsia" w:ascii="仿宋_GB2312" w:hAnsi="Calibri" w:eastAsia="仿宋_GB2312" w:cs="宋体"/>
          <w:color w:val="FF0000"/>
          <w:kern w:val="0"/>
          <w:sz w:val="32"/>
          <w:szCs w:val="32"/>
        </w:rPr>
      </w:pPr>
      <w:r>
        <w:rPr>
          <w:rFonts w:hint="eastAsia" w:ascii="黑体" w:hAnsi="宋体" w:eastAsia="黑体"/>
          <w:color w:val="FF0000"/>
          <w:sz w:val="32"/>
          <w:szCs w:val="32"/>
        </w:rPr>
        <w:t>第八条</w:t>
      </w:r>
      <w:r>
        <w:rPr>
          <w:rFonts w:hint="eastAsia" w:ascii="仿宋_GB2312" w:hAnsi="宋体" w:eastAsia="仿宋_GB2312" w:cs="宋体"/>
          <w:color w:val="FF0000"/>
          <w:kern w:val="0"/>
          <w:sz w:val="32"/>
          <w:szCs w:val="32"/>
        </w:rPr>
        <w:t xml:space="preserve">  危害严重</w:t>
      </w:r>
      <w:r>
        <w:rPr>
          <w:rFonts w:hint="eastAsia" w:ascii="仿宋_GB2312" w:hAnsi="Verdana" w:eastAsia="仿宋_GB2312" w:cs="宋体"/>
          <w:color w:val="FF0000"/>
          <w:kern w:val="0"/>
          <w:sz w:val="32"/>
          <w:szCs w:val="32"/>
        </w:rPr>
        <w:t>类的放射诊疗建设项目</w:t>
      </w:r>
      <w:r>
        <w:rPr>
          <w:rFonts w:hint="eastAsia" w:ascii="仿宋_GB2312" w:hAnsi="宋体" w:eastAsia="仿宋_GB2312" w:cs="宋体"/>
          <w:color w:val="FF0000"/>
          <w:kern w:val="0"/>
          <w:sz w:val="32"/>
          <w:szCs w:val="32"/>
        </w:rPr>
        <w:t>职业病危害放射防护预评价报告在申请卫生行政部门审核前，应当由承担评价的放射卫生技术服务机构组织</w:t>
      </w:r>
      <w:r>
        <w:rPr>
          <w:rFonts w:hint="eastAsia" w:ascii="仿宋_GB2312" w:hAnsi="Calibri" w:eastAsia="仿宋_GB2312" w:cs="宋体"/>
          <w:color w:val="FF0000"/>
          <w:kern w:val="0"/>
          <w:sz w:val="32"/>
          <w:szCs w:val="32"/>
        </w:rPr>
        <w:t>5名以上专家</w:t>
      </w:r>
      <w:r>
        <w:rPr>
          <w:rFonts w:hint="eastAsia" w:ascii="仿宋_GB2312" w:hAnsi="宋体" w:eastAsia="仿宋_GB2312" w:cs="宋体"/>
          <w:color w:val="FF0000"/>
          <w:kern w:val="0"/>
          <w:sz w:val="32"/>
          <w:szCs w:val="32"/>
        </w:rPr>
        <w:t>进行评审</w:t>
      </w:r>
      <w:r>
        <w:rPr>
          <w:rFonts w:hint="eastAsia" w:ascii="仿宋_GB2312" w:hAnsi="Calibri" w:eastAsia="仿宋_GB2312" w:cs="宋体"/>
          <w:color w:val="FF0000"/>
          <w:kern w:val="0"/>
          <w:sz w:val="32"/>
          <w:szCs w:val="32"/>
        </w:rPr>
        <w:t>，其中从放射卫生技术评审专家库中抽取的专家应不少于专家总数的3/5。</w:t>
      </w:r>
    </w:p>
    <w:p>
      <w:pPr>
        <w:widowControl/>
        <w:spacing w:line="360" w:lineRule="auto"/>
        <w:ind w:firstLine="640" w:firstLineChars="200"/>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立体定向放射治疗装置</w:t>
      </w:r>
      <w:r>
        <w:rPr>
          <w:rFonts w:hint="eastAsia" w:ascii="仿宋_GB2312" w:hAnsi="宋体" w:eastAsia="仿宋_GB2312" w:cs="宋体"/>
          <w:sz w:val="32"/>
          <w:szCs w:val="32"/>
        </w:rPr>
        <w:t>、质子治疗装置、重离子治疗装置、中子治疗装置</w:t>
      </w:r>
      <w:r>
        <w:rPr>
          <w:rFonts w:hint="eastAsia" w:ascii="仿宋_GB2312" w:hAnsi="Verdana" w:eastAsia="仿宋_GB2312" w:cs="宋体"/>
          <w:kern w:val="0"/>
          <w:sz w:val="32"/>
          <w:szCs w:val="32"/>
        </w:rPr>
        <w:t>和正电子发射计算机断层显像装置（PET）等项目预评价报告的评审，从国家级放射卫生技术评审专家库抽取的专家应不少于专家总数的2/5。</w:t>
      </w:r>
    </w:p>
    <w:p>
      <w:pPr>
        <w:widowControl/>
        <w:spacing w:line="360" w:lineRule="auto"/>
        <w:ind w:firstLine="643" w:firstLineChars="200"/>
        <w:rPr>
          <w:rFonts w:hint="eastAsia" w:ascii="仿宋_GB2312" w:hAnsi="Verdana" w:eastAsia="仿宋_GB2312" w:cs="宋体"/>
          <w:b/>
          <w:color w:val="FF0000"/>
          <w:kern w:val="0"/>
          <w:sz w:val="32"/>
          <w:szCs w:val="32"/>
        </w:rPr>
      </w:pPr>
      <w:r>
        <w:rPr>
          <w:rFonts w:hint="eastAsia" w:ascii="仿宋_GB2312" w:hAnsi="Verdana" w:eastAsia="仿宋_GB2312" w:cs="宋体"/>
          <w:b/>
          <w:color w:val="FF0000"/>
          <w:kern w:val="0"/>
          <w:sz w:val="32"/>
          <w:szCs w:val="32"/>
        </w:rPr>
        <w:t>危害一般类的放射诊疗建设项目职业病危害放射防护预评价报告是否需要专家审查由省级卫生行政部门确定。</w:t>
      </w:r>
    </w:p>
    <w:p>
      <w:pPr>
        <w:widowControl/>
        <w:spacing w:line="360" w:lineRule="auto"/>
        <w:ind w:firstLine="643" w:firstLineChars="200"/>
        <w:rPr>
          <w:rFonts w:hint="eastAsia" w:ascii="仿宋_GB2312" w:hAnsi="宋体" w:eastAsia="仿宋_GB2312" w:cs="宋体"/>
          <w:b/>
          <w:color w:val="FF0000"/>
          <w:kern w:val="0"/>
          <w:sz w:val="32"/>
          <w:szCs w:val="32"/>
        </w:rPr>
      </w:pPr>
      <w:r>
        <w:rPr>
          <w:rFonts w:hint="eastAsia" w:ascii="仿宋_GB2312" w:hAnsi="宋体" w:eastAsia="仿宋_GB2312" w:cs="宋体"/>
          <w:b/>
          <w:color w:val="FF0000"/>
          <w:kern w:val="0"/>
          <w:sz w:val="32"/>
          <w:szCs w:val="32"/>
        </w:rPr>
        <w:t>评审专家的组成、专家评审意见、评审意见处理情况及专家组复核意见等内容应作为预评价报告的附件。</w:t>
      </w:r>
    </w:p>
    <w:p>
      <w:pPr>
        <w:spacing w:line="360" w:lineRule="auto"/>
        <w:ind w:firstLine="640" w:firstLineChars="200"/>
        <w:rPr>
          <w:rFonts w:hint="eastAsia" w:ascii="仿宋_GB2312" w:hAnsi="宋体" w:eastAsia="仿宋_GB2312" w:cs="宋体"/>
          <w:kern w:val="0"/>
          <w:sz w:val="32"/>
          <w:szCs w:val="32"/>
        </w:rPr>
      </w:pPr>
      <w:r>
        <w:rPr>
          <w:rFonts w:hint="eastAsia" w:ascii="黑体" w:hAnsi="宋体" w:eastAsia="黑体"/>
          <w:sz w:val="32"/>
          <w:szCs w:val="32"/>
        </w:rPr>
        <w:t>第九条</w:t>
      </w:r>
      <w:r>
        <w:rPr>
          <w:rFonts w:hint="eastAsia" w:ascii="仿宋_GB2312" w:hAnsi="宋体" w:eastAsia="仿宋_GB2312"/>
          <w:sz w:val="32"/>
          <w:szCs w:val="32"/>
        </w:rPr>
        <w:t xml:space="preserve">  </w:t>
      </w:r>
      <w:r>
        <w:rPr>
          <w:rFonts w:hint="eastAsia" w:ascii="仿宋_GB2312" w:hAnsi="宋体" w:eastAsia="仿宋_GB2312" w:cs="宋体"/>
          <w:kern w:val="0"/>
          <w:sz w:val="32"/>
          <w:szCs w:val="32"/>
        </w:rPr>
        <w:t>卫生行政部门应当自受理之日起20日内完成对预评价的审核。审核同意的，予以批复；审核不同意的，应当书面通知建设单位并说明理由。</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黑体" w:hAnsi="宋体" w:eastAsia="黑体"/>
          <w:sz w:val="32"/>
          <w:szCs w:val="32"/>
        </w:rPr>
        <w:t>第十条</w:t>
      </w:r>
      <w:r>
        <w:rPr>
          <w:rFonts w:hint="eastAsia" w:ascii="仿宋_GB2312" w:hAnsi="宋体" w:eastAsia="仿宋_GB2312"/>
          <w:sz w:val="32"/>
          <w:szCs w:val="32"/>
        </w:rPr>
        <w:t xml:space="preserve">  </w:t>
      </w:r>
      <w:r>
        <w:rPr>
          <w:rFonts w:hint="eastAsia" w:ascii="仿宋_GB2312" w:hAnsi="宋体" w:eastAsia="仿宋_GB2312" w:cs="宋体"/>
          <w:kern w:val="0"/>
          <w:sz w:val="32"/>
          <w:szCs w:val="32"/>
        </w:rPr>
        <w:t>放射诊疗建设项目竣工后，</w:t>
      </w:r>
      <w:r>
        <w:rPr>
          <w:rFonts w:hint="eastAsia" w:ascii="仿宋_GB2312" w:hAnsi="宋体" w:eastAsia="仿宋_GB2312"/>
          <w:sz w:val="32"/>
          <w:szCs w:val="32"/>
        </w:rPr>
        <w:t>建设单位应向</w:t>
      </w:r>
      <w:r>
        <w:rPr>
          <w:rFonts w:hint="eastAsia" w:ascii="仿宋_GB2312" w:hAnsi="宋体" w:eastAsia="仿宋_GB2312" w:cs="宋体"/>
          <w:kern w:val="0"/>
          <w:sz w:val="32"/>
          <w:szCs w:val="32"/>
        </w:rPr>
        <w:t>审核建设项目职业病危害放射防护预评价的卫生行政部门申请竣工验收，并提交下列资料：</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（一）放射诊疗建设项目职业病放射防护设施竣工验收申请表；</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（二）放射诊疗建设项目职业病危害控制效果放射防护评价报告；</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（三）放射诊疗建设项目职业病危害预评价审核同意证明材料</w:t>
      </w:r>
      <w:r>
        <w:rPr>
          <w:rFonts w:hint="eastAsia" w:ascii="仿宋_GB2312" w:hAnsi="Verdana" w:eastAsia="仿宋_GB2312" w:cs="宋体"/>
          <w:kern w:val="0"/>
          <w:sz w:val="32"/>
          <w:szCs w:val="32"/>
        </w:rPr>
        <w:t>（复印件）</w:t>
      </w:r>
      <w:r>
        <w:rPr>
          <w:rFonts w:hint="eastAsia" w:ascii="仿宋_GB2312" w:hAnsi="宋体" w:eastAsia="仿宋_GB2312" w:cs="宋体"/>
          <w:kern w:val="0"/>
          <w:sz w:val="32"/>
          <w:szCs w:val="32"/>
        </w:rPr>
        <w:t>；</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（四）委托申报的，应提供委托申报证明；</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（五）省级卫生行政部门规定的其他资料。</w:t>
      </w:r>
    </w:p>
    <w:p>
      <w:pPr>
        <w:widowControl/>
        <w:tabs>
          <w:tab w:val="left" w:pos="1980"/>
        </w:tabs>
        <w:spacing w:line="360" w:lineRule="auto"/>
        <w:ind w:firstLine="640" w:firstLineChars="200"/>
        <w:jc w:val="left"/>
        <w:rPr>
          <w:rFonts w:hint="eastAsia" w:ascii="仿宋_GB2312" w:hAnsi="宋体" w:eastAsia="仿宋_GB2312" w:cs="宋体"/>
          <w:kern w:val="0"/>
          <w:sz w:val="32"/>
          <w:szCs w:val="32"/>
        </w:rPr>
      </w:pPr>
      <w:r>
        <w:rPr>
          <w:rFonts w:hint="eastAsia" w:ascii="黑体" w:hAnsi="宋体" w:eastAsia="黑体"/>
          <w:sz w:val="32"/>
          <w:szCs w:val="32"/>
        </w:rPr>
        <w:t>第十一条</w:t>
      </w:r>
      <w:r>
        <w:rPr>
          <w:rFonts w:hint="eastAsia" w:ascii="仿宋_GB2312" w:hAnsi="宋体" w:eastAsia="仿宋_GB2312"/>
          <w:sz w:val="32"/>
          <w:szCs w:val="32"/>
        </w:rPr>
        <w:t xml:space="preserve">  </w:t>
      </w:r>
      <w:r>
        <w:rPr>
          <w:rFonts w:hint="eastAsia" w:ascii="仿宋_GB2312" w:hAnsi="宋体" w:eastAsia="仿宋_GB2312" w:cs="宋体"/>
          <w:b/>
          <w:color w:val="FF0000"/>
          <w:kern w:val="0"/>
          <w:sz w:val="32"/>
          <w:szCs w:val="32"/>
        </w:rPr>
        <w:t>卫生行政部门受理竣工验收申请后，对危害一般类的建设项目，应当按卫生行政许可的时限进行职业病放射防护设施竣工验收；对危害严重类的建设项目，应当按卫生行政许可的时限组织专家对控制效果评价报告进行评审，并进行职业病放射防护设施竣工验收。</w:t>
      </w:r>
    </w:p>
    <w:p>
      <w:pPr>
        <w:widowControl/>
        <w:tabs>
          <w:tab w:val="left" w:pos="1980"/>
        </w:tabs>
        <w:spacing w:line="360" w:lineRule="auto"/>
        <w:ind w:firstLine="643" w:firstLineChars="200"/>
        <w:jc w:val="left"/>
        <w:rPr>
          <w:rFonts w:hint="eastAsia" w:ascii="仿宋_GB2312" w:hAnsi="宋体" w:eastAsia="仿宋_GB2312" w:cs="宋体"/>
          <w:b/>
          <w:color w:val="FF0000"/>
          <w:kern w:val="0"/>
          <w:sz w:val="32"/>
          <w:szCs w:val="32"/>
        </w:rPr>
      </w:pPr>
      <w:r>
        <w:rPr>
          <w:rFonts w:hint="eastAsia" w:ascii="仿宋_GB2312" w:hAnsi="宋体" w:eastAsia="仿宋_GB2312" w:cs="宋体"/>
          <w:b/>
          <w:color w:val="FF0000"/>
          <w:kern w:val="0"/>
          <w:sz w:val="32"/>
          <w:szCs w:val="32"/>
        </w:rPr>
        <w:t>危害一般类的放射诊疗建设项目职业病危害放射防护控制效果评价报告是否需要专家评审由省级卫生行政部门确定。</w:t>
      </w:r>
    </w:p>
    <w:p>
      <w:pPr>
        <w:widowControl/>
        <w:tabs>
          <w:tab w:val="left" w:pos="1980"/>
        </w:tabs>
        <w:spacing w:line="360" w:lineRule="auto"/>
        <w:ind w:firstLine="640" w:firstLineChars="200"/>
        <w:jc w:val="left"/>
        <w:rPr>
          <w:rFonts w:hint="eastAsia" w:ascii="仿宋_GB2312" w:hAnsi="宋体" w:eastAsia="仿宋_GB2312" w:cs="宋体"/>
          <w:kern w:val="0"/>
          <w:sz w:val="32"/>
          <w:szCs w:val="32"/>
        </w:rPr>
      </w:pPr>
      <w:r>
        <w:rPr>
          <w:rFonts w:hint="eastAsia" w:ascii="黑体" w:hAnsi="宋体" w:eastAsia="黑体"/>
          <w:sz w:val="32"/>
          <w:szCs w:val="32"/>
        </w:rPr>
        <w:t>第十二条</w:t>
      </w:r>
      <w:r>
        <w:rPr>
          <w:rFonts w:hint="eastAsia" w:ascii="仿宋_GB2312" w:hAnsi="Verdana" w:eastAsia="仿宋_GB2312" w:cs="宋体"/>
          <w:kern w:val="0"/>
          <w:sz w:val="32"/>
          <w:szCs w:val="32"/>
        </w:rPr>
        <w:t xml:space="preserve">  竣工</w:t>
      </w:r>
      <w:r>
        <w:rPr>
          <w:rFonts w:hint="eastAsia" w:ascii="仿宋_GB2312" w:hAnsi="宋体" w:eastAsia="仿宋_GB2312" w:cs="宋体"/>
          <w:kern w:val="0"/>
          <w:sz w:val="32"/>
          <w:szCs w:val="32"/>
        </w:rPr>
        <w:t>验收合格的放射诊疗建设项目，</w:t>
      </w:r>
      <w:r>
        <w:rPr>
          <w:rFonts w:hint="eastAsia" w:ascii="仿宋_GB2312" w:hAnsi="Verdana" w:eastAsia="仿宋_GB2312" w:cs="宋体"/>
          <w:kern w:val="0"/>
          <w:sz w:val="32"/>
          <w:szCs w:val="32"/>
        </w:rPr>
        <w:t>卫生行政部门</w:t>
      </w:r>
      <w:r>
        <w:rPr>
          <w:rFonts w:hint="eastAsia" w:ascii="仿宋_GB2312" w:hAnsi="宋体" w:eastAsia="仿宋_GB2312" w:cs="宋体"/>
          <w:kern w:val="0"/>
          <w:sz w:val="32"/>
          <w:szCs w:val="32"/>
        </w:rPr>
        <w:t>应当在竣工验收后20日内出具验收合格证明文件；需要整改的，建设单位应提交整改报告，卫生行政部门组织复核，确认符合要求后，出具验收合格证明文件；竣工验收不合格的，卫生行政部门应书面通知建设单位并说明理由。</w:t>
      </w:r>
      <w:r>
        <w:rPr>
          <w:rFonts w:hint="eastAsia" w:ascii="宋体" w:hAnsi="宋体" w:eastAsia="仿宋_GB2312" w:cs="宋体"/>
          <w:kern w:val="0"/>
          <w:sz w:val="32"/>
          <w:szCs w:val="32"/>
        </w:rPr>
        <w:t> </w:t>
      </w:r>
    </w:p>
    <w:p>
      <w:pPr>
        <w:spacing w:line="360" w:lineRule="auto"/>
        <w:ind w:firstLine="640" w:firstLineChars="200"/>
        <w:rPr>
          <w:rFonts w:hint="eastAsia" w:ascii="仿宋_GB2312" w:hAnsi="宋体" w:eastAsia="仿宋_GB2312" w:cs="宋体"/>
          <w:kern w:val="0"/>
          <w:sz w:val="32"/>
          <w:szCs w:val="32"/>
        </w:rPr>
      </w:pPr>
      <w:r>
        <w:rPr>
          <w:rFonts w:hint="eastAsia" w:ascii="黑体" w:hAnsi="宋体" w:eastAsia="黑体"/>
          <w:sz w:val="32"/>
          <w:szCs w:val="32"/>
        </w:rPr>
        <w:t>第十三条</w:t>
      </w:r>
      <w:r>
        <w:rPr>
          <w:rFonts w:hint="eastAsia" w:ascii="仿宋_GB2312" w:hAnsi="宋体" w:eastAsia="仿宋_GB2312" w:cs="宋体"/>
          <w:kern w:val="0"/>
          <w:sz w:val="32"/>
          <w:szCs w:val="32"/>
        </w:rPr>
        <w:t xml:space="preserve"> 预评价审核和竣工验收的申请材料应当符合下列要求：</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ˎ̥" w:eastAsia="仿宋_GB2312" w:cs="宋体"/>
          <w:kern w:val="0"/>
          <w:sz w:val="32"/>
          <w:szCs w:val="32"/>
        </w:rPr>
        <w:t>（一）申请内容完整、真实、准确，不得涂改；</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ˎ̥" w:eastAsia="仿宋_GB2312" w:cs="宋体"/>
          <w:kern w:val="0"/>
          <w:sz w:val="32"/>
          <w:szCs w:val="32"/>
        </w:rPr>
        <w:t>（二）使用A4规格纸张打印；</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ˎ̥" w:eastAsia="仿宋_GB2312" w:cs="宋体"/>
          <w:kern w:val="0"/>
          <w:sz w:val="32"/>
          <w:szCs w:val="32"/>
        </w:rPr>
        <w:t>（三）申请材料</w:t>
      </w:r>
      <w:r>
        <w:rPr>
          <w:rFonts w:hint="eastAsia" w:ascii="仿宋_GB2312" w:hAnsi="宋体" w:eastAsia="仿宋_GB2312" w:cs="宋体"/>
          <w:kern w:val="0"/>
          <w:sz w:val="32"/>
          <w:szCs w:val="32"/>
        </w:rPr>
        <w:t>一式两份并加盖申请单位公章；</w:t>
      </w:r>
    </w:p>
    <w:p>
      <w:pPr>
        <w:widowControl/>
        <w:spacing w:line="360" w:lineRule="auto"/>
        <w:ind w:firstLine="640" w:firstLineChars="200"/>
        <w:jc w:val="left"/>
        <w:rPr>
          <w:rFonts w:hint="eastAsia" w:ascii="仿宋_GB2312" w:hAnsi="宋体" w:eastAsia="仿宋_GB2312" w:cs="宋体"/>
          <w:kern w:val="0"/>
          <w:sz w:val="32"/>
          <w:szCs w:val="32"/>
        </w:rPr>
      </w:pPr>
      <w:r>
        <w:rPr>
          <w:rFonts w:hint="eastAsia" w:ascii="仿宋_GB2312" w:hAnsi="ˎ̥" w:eastAsia="仿宋_GB2312" w:cs="宋体"/>
          <w:kern w:val="0"/>
          <w:sz w:val="32"/>
          <w:szCs w:val="32"/>
        </w:rPr>
        <w:t>（四）</w:t>
      </w:r>
      <w:r>
        <w:rPr>
          <w:rFonts w:hint="eastAsia" w:ascii="仿宋_GB2312" w:hAnsi="宋体" w:eastAsia="仿宋_GB2312" w:cs="宋体"/>
          <w:kern w:val="0"/>
          <w:sz w:val="32"/>
          <w:szCs w:val="32"/>
        </w:rPr>
        <w:t>委托申报证明应载明委托事项、受委托单位名称、受委托人姓名和委托日期，并加盖委托单位公章。</w:t>
      </w:r>
    </w:p>
    <w:p>
      <w:pPr>
        <w:snapToGrid w:val="0"/>
        <w:rPr>
          <w:rFonts w:hint="eastAsia" w:ascii="仿宋_GB2312" w:eastAsia="仿宋_GB2312"/>
          <w:color w:val="000000"/>
          <w:kern w:val="0"/>
          <w:sz w:val="24"/>
        </w:rPr>
      </w:pPr>
    </w:p>
    <w:sectPr>
      <w:headerReference r:id="rId3" w:type="default"/>
      <w:footerReference r:id="rId5" w:type="default"/>
      <w:headerReference r:id="rId4" w:type="even"/>
      <w:footerReference r:id="rId6" w:type="even"/>
      <w:pgSz w:w="11906" w:h="16838"/>
      <w:pgMar w:top="1440" w:right="1440" w:bottom="1440" w:left="144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lang/>
      </w:rPr>
      <w:t xml:space="preserve"> 5 -</w:t>
    </w:r>
    <w:r>
      <w:rPr>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F7"/>
    <w:rsid w:val="0000302F"/>
    <w:rsid w:val="00004F26"/>
    <w:rsid w:val="00006A55"/>
    <w:rsid w:val="00007454"/>
    <w:rsid w:val="000079D5"/>
    <w:rsid w:val="00007A56"/>
    <w:rsid w:val="000131CC"/>
    <w:rsid w:val="000152F2"/>
    <w:rsid w:val="00015907"/>
    <w:rsid w:val="00015F03"/>
    <w:rsid w:val="00020FA5"/>
    <w:rsid w:val="000211D7"/>
    <w:rsid w:val="0002281B"/>
    <w:rsid w:val="00023DF6"/>
    <w:rsid w:val="000265A9"/>
    <w:rsid w:val="0002746B"/>
    <w:rsid w:val="00030A3A"/>
    <w:rsid w:val="000316D1"/>
    <w:rsid w:val="000316D6"/>
    <w:rsid w:val="00031F82"/>
    <w:rsid w:val="00033583"/>
    <w:rsid w:val="00034574"/>
    <w:rsid w:val="00034764"/>
    <w:rsid w:val="00046BAF"/>
    <w:rsid w:val="0005024A"/>
    <w:rsid w:val="000528D0"/>
    <w:rsid w:val="0005573A"/>
    <w:rsid w:val="00055F82"/>
    <w:rsid w:val="0006015C"/>
    <w:rsid w:val="00062F9A"/>
    <w:rsid w:val="0006469C"/>
    <w:rsid w:val="00066C04"/>
    <w:rsid w:val="00071D17"/>
    <w:rsid w:val="000720C5"/>
    <w:rsid w:val="00072921"/>
    <w:rsid w:val="0007316C"/>
    <w:rsid w:val="000736BA"/>
    <w:rsid w:val="00073C62"/>
    <w:rsid w:val="00074150"/>
    <w:rsid w:val="00074904"/>
    <w:rsid w:val="0007499D"/>
    <w:rsid w:val="00076D8F"/>
    <w:rsid w:val="00080800"/>
    <w:rsid w:val="00081EB0"/>
    <w:rsid w:val="000841A4"/>
    <w:rsid w:val="0008536B"/>
    <w:rsid w:val="00085EC4"/>
    <w:rsid w:val="000879E7"/>
    <w:rsid w:val="00092644"/>
    <w:rsid w:val="00095351"/>
    <w:rsid w:val="00095C34"/>
    <w:rsid w:val="00095FDC"/>
    <w:rsid w:val="00097728"/>
    <w:rsid w:val="000A2D91"/>
    <w:rsid w:val="000A2F64"/>
    <w:rsid w:val="000A3070"/>
    <w:rsid w:val="000A3FB7"/>
    <w:rsid w:val="000A67DB"/>
    <w:rsid w:val="000B065F"/>
    <w:rsid w:val="000B1E38"/>
    <w:rsid w:val="000B3752"/>
    <w:rsid w:val="000B4798"/>
    <w:rsid w:val="000B596D"/>
    <w:rsid w:val="000B69F4"/>
    <w:rsid w:val="000C1645"/>
    <w:rsid w:val="000C383A"/>
    <w:rsid w:val="000C7033"/>
    <w:rsid w:val="000D0E2B"/>
    <w:rsid w:val="000D351E"/>
    <w:rsid w:val="000D3BA4"/>
    <w:rsid w:val="000D63D0"/>
    <w:rsid w:val="000D6E79"/>
    <w:rsid w:val="000D74C3"/>
    <w:rsid w:val="000D7926"/>
    <w:rsid w:val="000E153E"/>
    <w:rsid w:val="000E4184"/>
    <w:rsid w:val="000E5248"/>
    <w:rsid w:val="000E621A"/>
    <w:rsid w:val="000F1089"/>
    <w:rsid w:val="000F1F4C"/>
    <w:rsid w:val="000F38E5"/>
    <w:rsid w:val="000F4D74"/>
    <w:rsid w:val="000F50B5"/>
    <w:rsid w:val="000F58A1"/>
    <w:rsid w:val="0010009A"/>
    <w:rsid w:val="00100B6D"/>
    <w:rsid w:val="001033D3"/>
    <w:rsid w:val="00103530"/>
    <w:rsid w:val="0010403B"/>
    <w:rsid w:val="00105082"/>
    <w:rsid w:val="00105D2B"/>
    <w:rsid w:val="00106260"/>
    <w:rsid w:val="00106806"/>
    <w:rsid w:val="001070BD"/>
    <w:rsid w:val="001073E6"/>
    <w:rsid w:val="00111DF2"/>
    <w:rsid w:val="00115A76"/>
    <w:rsid w:val="00116FCF"/>
    <w:rsid w:val="00117CEC"/>
    <w:rsid w:val="00120E27"/>
    <w:rsid w:val="00120F3D"/>
    <w:rsid w:val="00120FB8"/>
    <w:rsid w:val="001216CE"/>
    <w:rsid w:val="001223DF"/>
    <w:rsid w:val="001232AD"/>
    <w:rsid w:val="001232D9"/>
    <w:rsid w:val="00123BCB"/>
    <w:rsid w:val="00124402"/>
    <w:rsid w:val="00124A4D"/>
    <w:rsid w:val="00124C83"/>
    <w:rsid w:val="001272E0"/>
    <w:rsid w:val="001306D6"/>
    <w:rsid w:val="001319AC"/>
    <w:rsid w:val="001320DF"/>
    <w:rsid w:val="001351F1"/>
    <w:rsid w:val="00141F2D"/>
    <w:rsid w:val="00144467"/>
    <w:rsid w:val="00146C30"/>
    <w:rsid w:val="001477B0"/>
    <w:rsid w:val="0015103D"/>
    <w:rsid w:val="00151FB9"/>
    <w:rsid w:val="001532E8"/>
    <w:rsid w:val="00153AC6"/>
    <w:rsid w:val="0015451B"/>
    <w:rsid w:val="001545C0"/>
    <w:rsid w:val="001648D6"/>
    <w:rsid w:val="00165396"/>
    <w:rsid w:val="00167F61"/>
    <w:rsid w:val="00171982"/>
    <w:rsid w:val="00174B59"/>
    <w:rsid w:val="00174C39"/>
    <w:rsid w:val="00174E5E"/>
    <w:rsid w:val="0017521A"/>
    <w:rsid w:val="00180176"/>
    <w:rsid w:val="00180294"/>
    <w:rsid w:val="00181271"/>
    <w:rsid w:val="00181A30"/>
    <w:rsid w:val="00182EB6"/>
    <w:rsid w:val="0018313D"/>
    <w:rsid w:val="001841B0"/>
    <w:rsid w:val="00184CF3"/>
    <w:rsid w:val="00190D15"/>
    <w:rsid w:val="001916BC"/>
    <w:rsid w:val="00195557"/>
    <w:rsid w:val="00196847"/>
    <w:rsid w:val="00197C59"/>
    <w:rsid w:val="001A0E56"/>
    <w:rsid w:val="001A2F04"/>
    <w:rsid w:val="001A38FE"/>
    <w:rsid w:val="001A3ED0"/>
    <w:rsid w:val="001A57B6"/>
    <w:rsid w:val="001B0B67"/>
    <w:rsid w:val="001B21FD"/>
    <w:rsid w:val="001B2678"/>
    <w:rsid w:val="001B4C7A"/>
    <w:rsid w:val="001C000B"/>
    <w:rsid w:val="001C2106"/>
    <w:rsid w:val="001C6214"/>
    <w:rsid w:val="001C6F18"/>
    <w:rsid w:val="001C7A98"/>
    <w:rsid w:val="001D12EE"/>
    <w:rsid w:val="001D1C1F"/>
    <w:rsid w:val="001D1D57"/>
    <w:rsid w:val="001D1ED2"/>
    <w:rsid w:val="001D5CBC"/>
    <w:rsid w:val="001E06F9"/>
    <w:rsid w:val="001E0F4E"/>
    <w:rsid w:val="001E2147"/>
    <w:rsid w:val="001E273F"/>
    <w:rsid w:val="001E2B5D"/>
    <w:rsid w:val="001E501C"/>
    <w:rsid w:val="001F0BE6"/>
    <w:rsid w:val="001F0BEB"/>
    <w:rsid w:val="001F101C"/>
    <w:rsid w:val="001F11AE"/>
    <w:rsid w:val="001F2E86"/>
    <w:rsid w:val="001F75AE"/>
    <w:rsid w:val="00200364"/>
    <w:rsid w:val="002006AE"/>
    <w:rsid w:val="00201492"/>
    <w:rsid w:val="00203943"/>
    <w:rsid w:val="00203A8C"/>
    <w:rsid w:val="00211F74"/>
    <w:rsid w:val="00217890"/>
    <w:rsid w:val="002230EE"/>
    <w:rsid w:val="0022758F"/>
    <w:rsid w:val="00227C41"/>
    <w:rsid w:val="0023311D"/>
    <w:rsid w:val="002336C5"/>
    <w:rsid w:val="002356C2"/>
    <w:rsid w:val="002376F4"/>
    <w:rsid w:val="00237989"/>
    <w:rsid w:val="002425C0"/>
    <w:rsid w:val="00243016"/>
    <w:rsid w:val="00243462"/>
    <w:rsid w:val="00243FDB"/>
    <w:rsid w:val="00244E09"/>
    <w:rsid w:val="00244EE7"/>
    <w:rsid w:val="0024713C"/>
    <w:rsid w:val="00247531"/>
    <w:rsid w:val="002476B6"/>
    <w:rsid w:val="00252902"/>
    <w:rsid w:val="00252E3B"/>
    <w:rsid w:val="002567BA"/>
    <w:rsid w:val="00257329"/>
    <w:rsid w:val="00257780"/>
    <w:rsid w:val="00263079"/>
    <w:rsid w:val="00263CD5"/>
    <w:rsid w:val="00263F18"/>
    <w:rsid w:val="00264220"/>
    <w:rsid w:val="00264396"/>
    <w:rsid w:val="0026689E"/>
    <w:rsid w:val="002673DE"/>
    <w:rsid w:val="00275053"/>
    <w:rsid w:val="00275A78"/>
    <w:rsid w:val="00275D78"/>
    <w:rsid w:val="00276414"/>
    <w:rsid w:val="0028169E"/>
    <w:rsid w:val="00282077"/>
    <w:rsid w:val="0028211B"/>
    <w:rsid w:val="00282413"/>
    <w:rsid w:val="00283C46"/>
    <w:rsid w:val="00283D99"/>
    <w:rsid w:val="00284AEA"/>
    <w:rsid w:val="002869D9"/>
    <w:rsid w:val="00287222"/>
    <w:rsid w:val="00287E97"/>
    <w:rsid w:val="00290FB6"/>
    <w:rsid w:val="00292C3E"/>
    <w:rsid w:val="002938BF"/>
    <w:rsid w:val="00295DA3"/>
    <w:rsid w:val="00297792"/>
    <w:rsid w:val="002A658F"/>
    <w:rsid w:val="002B379C"/>
    <w:rsid w:val="002B4782"/>
    <w:rsid w:val="002B53CE"/>
    <w:rsid w:val="002B53D5"/>
    <w:rsid w:val="002B5C53"/>
    <w:rsid w:val="002B5E8B"/>
    <w:rsid w:val="002C0052"/>
    <w:rsid w:val="002C139F"/>
    <w:rsid w:val="002C196B"/>
    <w:rsid w:val="002C3B6E"/>
    <w:rsid w:val="002C45BC"/>
    <w:rsid w:val="002C4C6C"/>
    <w:rsid w:val="002C6D7B"/>
    <w:rsid w:val="002C7655"/>
    <w:rsid w:val="002D16AE"/>
    <w:rsid w:val="002D49F1"/>
    <w:rsid w:val="002D4ACF"/>
    <w:rsid w:val="002D66BF"/>
    <w:rsid w:val="002E054C"/>
    <w:rsid w:val="002E1946"/>
    <w:rsid w:val="002E26AC"/>
    <w:rsid w:val="002E2A69"/>
    <w:rsid w:val="002E44C2"/>
    <w:rsid w:val="002E5A82"/>
    <w:rsid w:val="002E5C64"/>
    <w:rsid w:val="002E5F34"/>
    <w:rsid w:val="002E6A72"/>
    <w:rsid w:val="002E73FA"/>
    <w:rsid w:val="002F47A5"/>
    <w:rsid w:val="002F49EE"/>
    <w:rsid w:val="002F5114"/>
    <w:rsid w:val="002F5986"/>
    <w:rsid w:val="002F7067"/>
    <w:rsid w:val="002F745E"/>
    <w:rsid w:val="0030059D"/>
    <w:rsid w:val="0030144D"/>
    <w:rsid w:val="00303A33"/>
    <w:rsid w:val="00317108"/>
    <w:rsid w:val="0031722C"/>
    <w:rsid w:val="00317B66"/>
    <w:rsid w:val="003200B9"/>
    <w:rsid w:val="0032169C"/>
    <w:rsid w:val="00322197"/>
    <w:rsid w:val="00322780"/>
    <w:rsid w:val="003244FD"/>
    <w:rsid w:val="00327A56"/>
    <w:rsid w:val="00332ABB"/>
    <w:rsid w:val="00334087"/>
    <w:rsid w:val="00334E72"/>
    <w:rsid w:val="003351DC"/>
    <w:rsid w:val="00336592"/>
    <w:rsid w:val="003414E0"/>
    <w:rsid w:val="00341BE8"/>
    <w:rsid w:val="003446F7"/>
    <w:rsid w:val="00344E40"/>
    <w:rsid w:val="0034615F"/>
    <w:rsid w:val="00346701"/>
    <w:rsid w:val="00346B06"/>
    <w:rsid w:val="00347629"/>
    <w:rsid w:val="00347950"/>
    <w:rsid w:val="003511D0"/>
    <w:rsid w:val="00357758"/>
    <w:rsid w:val="003612FD"/>
    <w:rsid w:val="003624E7"/>
    <w:rsid w:val="00362B8A"/>
    <w:rsid w:val="00364713"/>
    <w:rsid w:val="00365BE6"/>
    <w:rsid w:val="00367DC7"/>
    <w:rsid w:val="0037232C"/>
    <w:rsid w:val="003741CF"/>
    <w:rsid w:val="0037470C"/>
    <w:rsid w:val="00376BCD"/>
    <w:rsid w:val="003821CF"/>
    <w:rsid w:val="00383138"/>
    <w:rsid w:val="0038336B"/>
    <w:rsid w:val="0038389D"/>
    <w:rsid w:val="00384039"/>
    <w:rsid w:val="003901CD"/>
    <w:rsid w:val="00390AA6"/>
    <w:rsid w:val="003928C9"/>
    <w:rsid w:val="00395F8D"/>
    <w:rsid w:val="003A1E38"/>
    <w:rsid w:val="003A244F"/>
    <w:rsid w:val="003A2E44"/>
    <w:rsid w:val="003A5BA4"/>
    <w:rsid w:val="003B0C20"/>
    <w:rsid w:val="003B19A9"/>
    <w:rsid w:val="003B1BAE"/>
    <w:rsid w:val="003B2652"/>
    <w:rsid w:val="003B2A65"/>
    <w:rsid w:val="003B371F"/>
    <w:rsid w:val="003B4A12"/>
    <w:rsid w:val="003B5E17"/>
    <w:rsid w:val="003B6D39"/>
    <w:rsid w:val="003B775A"/>
    <w:rsid w:val="003B7C47"/>
    <w:rsid w:val="003C4147"/>
    <w:rsid w:val="003C4529"/>
    <w:rsid w:val="003C47EF"/>
    <w:rsid w:val="003C495B"/>
    <w:rsid w:val="003C6E86"/>
    <w:rsid w:val="003C6F7C"/>
    <w:rsid w:val="003C7C68"/>
    <w:rsid w:val="003D160F"/>
    <w:rsid w:val="003D2A2B"/>
    <w:rsid w:val="003D3196"/>
    <w:rsid w:val="003D3BF1"/>
    <w:rsid w:val="003D49F0"/>
    <w:rsid w:val="003D5148"/>
    <w:rsid w:val="003E1687"/>
    <w:rsid w:val="003E2D9B"/>
    <w:rsid w:val="003E6847"/>
    <w:rsid w:val="003E7024"/>
    <w:rsid w:val="003E7AF4"/>
    <w:rsid w:val="003F1CBB"/>
    <w:rsid w:val="003F23C0"/>
    <w:rsid w:val="003F31E4"/>
    <w:rsid w:val="003F520C"/>
    <w:rsid w:val="003F7187"/>
    <w:rsid w:val="003F7597"/>
    <w:rsid w:val="0040201B"/>
    <w:rsid w:val="0040270D"/>
    <w:rsid w:val="00404672"/>
    <w:rsid w:val="00405356"/>
    <w:rsid w:val="00405520"/>
    <w:rsid w:val="004064C7"/>
    <w:rsid w:val="00406F4B"/>
    <w:rsid w:val="0040790D"/>
    <w:rsid w:val="00411762"/>
    <w:rsid w:val="004124C0"/>
    <w:rsid w:val="0041486A"/>
    <w:rsid w:val="00417D54"/>
    <w:rsid w:val="00423471"/>
    <w:rsid w:val="00424AA1"/>
    <w:rsid w:val="004256FE"/>
    <w:rsid w:val="0042669C"/>
    <w:rsid w:val="00430C72"/>
    <w:rsid w:val="00430E45"/>
    <w:rsid w:val="00434BF3"/>
    <w:rsid w:val="00435262"/>
    <w:rsid w:val="004358ED"/>
    <w:rsid w:val="004365FC"/>
    <w:rsid w:val="00440526"/>
    <w:rsid w:val="004416F2"/>
    <w:rsid w:val="00441705"/>
    <w:rsid w:val="004421C0"/>
    <w:rsid w:val="00443BDC"/>
    <w:rsid w:val="0045153C"/>
    <w:rsid w:val="00451940"/>
    <w:rsid w:val="0045454D"/>
    <w:rsid w:val="00456D92"/>
    <w:rsid w:val="00460094"/>
    <w:rsid w:val="004605AA"/>
    <w:rsid w:val="00462C50"/>
    <w:rsid w:val="00464747"/>
    <w:rsid w:val="00465D0C"/>
    <w:rsid w:val="004663A2"/>
    <w:rsid w:val="00467930"/>
    <w:rsid w:val="00467CD1"/>
    <w:rsid w:val="00473625"/>
    <w:rsid w:val="0047392E"/>
    <w:rsid w:val="004763C2"/>
    <w:rsid w:val="00481D2A"/>
    <w:rsid w:val="00483062"/>
    <w:rsid w:val="004833A7"/>
    <w:rsid w:val="00484273"/>
    <w:rsid w:val="00484590"/>
    <w:rsid w:val="00484B06"/>
    <w:rsid w:val="0048598C"/>
    <w:rsid w:val="00485D6A"/>
    <w:rsid w:val="00486D6C"/>
    <w:rsid w:val="00487BF5"/>
    <w:rsid w:val="00491EC4"/>
    <w:rsid w:val="00491EF4"/>
    <w:rsid w:val="00493FEB"/>
    <w:rsid w:val="004A1294"/>
    <w:rsid w:val="004A2774"/>
    <w:rsid w:val="004A2F86"/>
    <w:rsid w:val="004A500B"/>
    <w:rsid w:val="004A63EC"/>
    <w:rsid w:val="004A765A"/>
    <w:rsid w:val="004B0E61"/>
    <w:rsid w:val="004B15D5"/>
    <w:rsid w:val="004B23F1"/>
    <w:rsid w:val="004B281C"/>
    <w:rsid w:val="004B3BAC"/>
    <w:rsid w:val="004B3E7E"/>
    <w:rsid w:val="004B3EDE"/>
    <w:rsid w:val="004B656A"/>
    <w:rsid w:val="004B6BF8"/>
    <w:rsid w:val="004C21BA"/>
    <w:rsid w:val="004C322E"/>
    <w:rsid w:val="004C3DE4"/>
    <w:rsid w:val="004C4CFB"/>
    <w:rsid w:val="004C7C07"/>
    <w:rsid w:val="004D03AC"/>
    <w:rsid w:val="004D1824"/>
    <w:rsid w:val="004E15C2"/>
    <w:rsid w:val="004E1FD1"/>
    <w:rsid w:val="004E571E"/>
    <w:rsid w:val="004E6494"/>
    <w:rsid w:val="004E6D06"/>
    <w:rsid w:val="004E7BFB"/>
    <w:rsid w:val="004F1C18"/>
    <w:rsid w:val="004F354C"/>
    <w:rsid w:val="004F4755"/>
    <w:rsid w:val="00503661"/>
    <w:rsid w:val="00504035"/>
    <w:rsid w:val="00504EC9"/>
    <w:rsid w:val="00511626"/>
    <w:rsid w:val="00515CB6"/>
    <w:rsid w:val="005160FC"/>
    <w:rsid w:val="00517775"/>
    <w:rsid w:val="00517D95"/>
    <w:rsid w:val="005218D3"/>
    <w:rsid w:val="005246E5"/>
    <w:rsid w:val="00524DAB"/>
    <w:rsid w:val="005252A9"/>
    <w:rsid w:val="00526561"/>
    <w:rsid w:val="00527803"/>
    <w:rsid w:val="005303D8"/>
    <w:rsid w:val="00532734"/>
    <w:rsid w:val="0053458C"/>
    <w:rsid w:val="00537159"/>
    <w:rsid w:val="005372B6"/>
    <w:rsid w:val="0054170D"/>
    <w:rsid w:val="00541B48"/>
    <w:rsid w:val="00544862"/>
    <w:rsid w:val="0054723F"/>
    <w:rsid w:val="00550CD8"/>
    <w:rsid w:val="005521F1"/>
    <w:rsid w:val="00553414"/>
    <w:rsid w:val="0056014E"/>
    <w:rsid w:val="005604E7"/>
    <w:rsid w:val="00561897"/>
    <w:rsid w:val="00562CB6"/>
    <w:rsid w:val="00564041"/>
    <w:rsid w:val="0057076C"/>
    <w:rsid w:val="00570C18"/>
    <w:rsid w:val="0057181A"/>
    <w:rsid w:val="0057578A"/>
    <w:rsid w:val="00576167"/>
    <w:rsid w:val="00577445"/>
    <w:rsid w:val="005815EB"/>
    <w:rsid w:val="005817DC"/>
    <w:rsid w:val="0058379F"/>
    <w:rsid w:val="00583A88"/>
    <w:rsid w:val="005855FF"/>
    <w:rsid w:val="00593B2A"/>
    <w:rsid w:val="005967C9"/>
    <w:rsid w:val="00597B37"/>
    <w:rsid w:val="005A17BB"/>
    <w:rsid w:val="005A1F02"/>
    <w:rsid w:val="005A2317"/>
    <w:rsid w:val="005A655D"/>
    <w:rsid w:val="005A704C"/>
    <w:rsid w:val="005B0980"/>
    <w:rsid w:val="005B359D"/>
    <w:rsid w:val="005B3C0C"/>
    <w:rsid w:val="005B466D"/>
    <w:rsid w:val="005B5F0B"/>
    <w:rsid w:val="005B67B4"/>
    <w:rsid w:val="005B7613"/>
    <w:rsid w:val="005C342E"/>
    <w:rsid w:val="005C4DF2"/>
    <w:rsid w:val="005C521D"/>
    <w:rsid w:val="005D06C0"/>
    <w:rsid w:val="005D2909"/>
    <w:rsid w:val="005D37D9"/>
    <w:rsid w:val="005D3AD1"/>
    <w:rsid w:val="005D3D8E"/>
    <w:rsid w:val="005D3DAF"/>
    <w:rsid w:val="005D4542"/>
    <w:rsid w:val="005D4986"/>
    <w:rsid w:val="005D51D9"/>
    <w:rsid w:val="005D6CFB"/>
    <w:rsid w:val="005E260F"/>
    <w:rsid w:val="005E6DDE"/>
    <w:rsid w:val="005F0386"/>
    <w:rsid w:val="005F05FC"/>
    <w:rsid w:val="005F17B2"/>
    <w:rsid w:val="005F1AB3"/>
    <w:rsid w:val="005F35D1"/>
    <w:rsid w:val="005F439A"/>
    <w:rsid w:val="005F4AEA"/>
    <w:rsid w:val="006021B5"/>
    <w:rsid w:val="00611697"/>
    <w:rsid w:val="00611B12"/>
    <w:rsid w:val="0061340C"/>
    <w:rsid w:val="006143BA"/>
    <w:rsid w:val="0061531A"/>
    <w:rsid w:val="006154B7"/>
    <w:rsid w:val="00615761"/>
    <w:rsid w:val="00615797"/>
    <w:rsid w:val="00615FE2"/>
    <w:rsid w:val="006161FB"/>
    <w:rsid w:val="00616C81"/>
    <w:rsid w:val="00620A1D"/>
    <w:rsid w:val="006217F8"/>
    <w:rsid w:val="00621BD6"/>
    <w:rsid w:val="00623149"/>
    <w:rsid w:val="00624B51"/>
    <w:rsid w:val="00625549"/>
    <w:rsid w:val="00626F18"/>
    <w:rsid w:val="00627F38"/>
    <w:rsid w:val="0063070E"/>
    <w:rsid w:val="0063436A"/>
    <w:rsid w:val="00635C67"/>
    <w:rsid w:val="006405A0"/>
    <w:rsid w:val="00641C98"/>
    <w:rsid w:val="00641D39"/>
    <w:rsid w:val="006450AB"/>
    <w:rsid w:val="006453E3"/>
    <w:rsid w:val="00647B4E"/>
    <w:rsid w:val="00650EBA"/>
    <w:rsid w:val="00652224"/>
    <w:rsid w:val="00655F1C"/>
    <w:rsid w:val="006562CD"/>
    <w:rsid w:val="00662ED1"/>
    <w:rsid w:val="00664E64"/>
    <w:rsid w:val="00665472"/>
    <w:rsid w:val="00667248"/>
    <w:rsid w:val="006705AB"/>
    <w:rsid w:val="00673708"/>
    <w:rsid w:val="0067389F"/>
    <w:rsid w:val="00677DD3"/>
    <w:rsid w:val="0068080C"/>
    <w:rsid w:val="006823ED"/>
    <w:rsid w:val="0068386E"/>
    <w:rsid w:val="006856EF"/>
    <w:rsid w:val="00685D3A"/>
    <w:rsid w:val="00686353"/>
    <w:rsid w:val="00686757"/>
    <w:rsid w:val="00686E14"/>
    <w:rsid w:val="0068747B"/>
    <w:rsid w:val="00690F10"/>
    <w:rsid w:val="00691700"/>
    <w:rsid w:val="00691F28"/>
    <w:rsid w:val="006946B2"/>
    <w:rsid w:val="00696593"/>
    <w:rsid w:val="00696D4C"/>
    <w:rsid w:val="006A0147"/>
    <w:rsid w:val="006A25F8"/>
    <w:rsid w:val="006A3EFE"/>
    <w:rsid w:val="006A53DB"/>
    <w:rsid w:val="006A5588"/>
    <w:rsid w:val="006B03DB"/>
    <w:rsid w:val="006B0683"/>
    <w:rsid w:val="006B06D1"/>
    <w:rsid w:val="006B07F2"/>
    <w:rsid w:val="006B170F"/>
    <w:rsid w:val="006B4FEA"/>
    <w:rsid w:val="006B57C5"/>
    <w:rsid w:val="006B6DB4"/>
    <w:rsid w:val="006B715D"/>
    <w:rsid w:val="006C00B1"/>
    <w:rsid w:val="006C1AE3"/>
    <w:rsid w:val="006C4AD5"/>
    <w:rsid w:val="006D21B2"/>
    <w:rsid w:val="006D425A"/>
    <w:rsid w:val="006D42DA"/>
    <w:rsid w:val="006D477D"/>
    <w:rsid w:val="006D7D10"/>
    <w:rsid w:val="006E0411"/>
    <w:rsid w:val="006E0F5A"/>
    <w:rsid w:val="006E1257"/>
    <w:rsid w:val="006E40D3"/>
    <w:rsid w:val="006E5447"/>
    <w:rsid w:val="006F28EA"/>
    <w:rsid w:val="006F3E8A"/>
    <w:rsid w:val="006F5625"/>
    <w:rsid w:val="006F56A1"/>
    <w:rsid w:val="006F659E"/>
    <w:rsid w:val="0070198B"/>
    <w:rsid w:val="00701B5E"/>
    <w:rsid w:val="00706D9F"/>
    <w:rsid w:val="00707501"/>
    <w:rsid w:val="007133E3"/>
    <w:rsid w:val="00716E7D"/>
    <w:rsid w:val="00717216"/>
    <w:rsid w:val="007217E7"/>
    <w:rsid w:val="007223A1"/>
    <w:rsid w:val="00723CAA"/>
    <w:rsid w:val="007240EF"/>
    <w:rsid w:val="0072526B"/>
    <w:rsid w:val="00726188"/>
    <w:rsid w:val="0072725D"/>
    <w:rsid w:val="007327CE"/>
    <w:rsid w:val="00732D9A"/>
    <w:rsid w:val="0073529D"/>
    <w:rsid w:val="007359FB"/>
    <w:rsid w:val="00736BA0"/>
    <w:rsid w:val="00743C32"/>
    <w:rsid w:val="00743D27"/>
    <w:rsid w:val="00744DCE"/>
    <w:rsid w:val="00744FFF"/>
    <w:rsid w:val="007462F7"/>
    <w:rsid w:val="00747097"/>
    <w:rsid w:val="00751A98"/>
    <w:rsid w:val="0075368F"/>
    <w:rsid w:val="00754DF2"/>
    <w:rsid w:val="00755B9C"/>
    <w:rsid w:val="007605C7"/>
    <w:rsid w:val="00762905"/>
    <w:rsid w:val="007713E0"/>
    <w:rsid w:val="007766EF"/>
    <w:rsid w:val="00780D4B"/>
    <w:rsid w:val="0078164B"/>
    <w:rsid w:val="00782065"/>
    <w:rsid w:val="00782F1F"/>
    <w:rsid w:val="0078376A"/>
    <w:rsid w:val="00783850"/>
    <w:rsid w:val="007843BF"/>
    <w:rsid w:val="00784592"/>
    <w:rsid w:val="007852EE"/>
    <w:rsid w:val="00785B43"/>
    <w:rsid w:val="0079067A"/>
    <w:rsid w:val="007935B2"/>
    <w:rsid w:val="007A1CFF"/>
    <w:rsid w:val="007A23DD"/>
    <w:rsid w:val="007A2828"/>
    <w:rsid w:val="007A4A57"/>
    <w:rsid w:val="007A5614"/>
    <w:rsid w:val="007A5BB9"/>
    <w:rsid w:val="007A7381"/>
    <w:rsid w:val="007A78DE"/>
    <w:rsid w:val="007B2641"/>
    <w:rsid w:val="007B3374"/>
    <w:rsid w:val="007B3ED4"/>
    <w:rsid w:val="007B5A62"/>
    <w:rsid w:val="007B5E8C"/>
    <w:rsid w:val="007B5F74"/>
    <w:rsid w:val="007B72D0"/>
    <w:rsid w:val="007C020E"/>
    <w:rsid w:val="007C0C71"/>
    <w:rsid w:val="007C0FDE"/>
    <w:rsid w:val="007C26A1"/>
    <w:rsid w:val="007C27C6"/>
    <w:rsid w:val="007C289D"/>
    <w:rsid w:val="007C507A"/>
    <w:rsid w:val="007C5AC4"/>
    <w:rsid w:val="007C6BE5"/>
    <w:rsid w:val="007C7694"/>
    <w:rsid w:val="007C77BB"/>
    <w:rsid w:val="007D06D3"/>
    <w:rsid w:val="007D231A"/>
    <w:rsid w:val="007D2346"/>
    <w:rsid w:val="007D4FAA"/>
    <w:rsid w:val="007D734E"/>
    <w:rsid w:val="007E1C81"/>
    <w:rsid w:val="007E2283"/>
    <w:rsid w:val="007E5DDB"/>
    <w:rsid w:val="007E748C"/>
    <w:rsid w:val="007F0365"/>
    <w:rsid w:val="007F1CEF"/>
    <w:rsid w:val="007F20D1"/>
    <w:rsid w:val="007F3DF7"/>
    <w:rsid w:val="007F5D95"/>
    <w:rsid w:val="007F5E18"/>
    <w:rsid w:val="007F7B1C"/>
    <w:rsid w:val="007F7B26"/>
    <w:rsid w:val="007F7DD5"/>
    <w:rsid w:val="00800025"/>
    <w:rsid w:val="00805070"/>
    <w:rsid w:val="0080766C"/>
    <w:rsid w:val="0081101F"/>
    <w:rsid w:val="00811097"/>
    <w:rsid w:val="0081207F"/>
    <w:rsid w:val="00812F8F"/>
    <w:rsid w:val="00813042"/>
    <w:rsid w:val="008148BE"/>
    <w:rsid w:val="00815F43"/>
    <w:rsid w:val="00817E6C"/>
    <w:rsid w:val="0082259C"/>
    <w:rsid w:val="008233EE"/>
    <w:rsid w:val="00823822"/>
    <w:rsid w:val="008334FF"/>
    <w:rsid w:val="0083472A"/>
    <w:rsid w:val="00835195"/>
    <w:rsid w:val="0083741D"/>
    <w:rsid w:val="00840B73"/>
    <w:rsid w:val="00840BAF"/>
    <w:rsid w:val="00840C4A"/>
    <w:rsid w:val="008415CB"/>
    <w:rsid w:val="00842D8C"/>
    <w:rsid w:val="00843888"/>
    <w:rsid w:val="00845A98"/>
    <w:rsid w:val="00845B80"/>
    <w:rsid w:val="008542FD"/>
    <w:rsid w:val="00854889"/>
    <w:rsid w:val="00860525"/>
    <w:rsid w:val="00861555"/>
    <w:rsid w:val="00862390"/>
    <w:rsid w:val="00863018"/>
    <w:rsid w:val="0086502E"/>
    <w:rsid w:val="008663C8"/>
    <w:rsid w:val="0087026F"/>
    <w:rsid w:val="00874864"/>
    <w:rsid w:val="0087531D"/>
    <w:rsid w:val="008763C7"/>
    <w:rsid w:val="00876A32"/>
    <w:rsid w:val="00880E0D"/>
    <w:rsid w:val="0088285F"/>
    <w:rsid w:val="0088383E"/>
    <w:rsid w:val="00883918"/>
    <w:rsid w:val="008856C7"/>
    <w:rsid w:val="00894EF9"/>
    <w:rsid w:val="00895E64"/>
    <w:rsid w:val="0089608E"/>
    <w:rsid w:val="00896B2D"/>
    <w:rsid w:val="008A3374"/>
    <w:rsid w:val="008A3646"/>
    <w:rsid w:val="008A4BE4"/>
    <w:rsid w:val="008A60C0"/>
    <w:rsid w:val="008B0725"/>
    <w:rsid w:val="008B0E00"/>
    <w:rsid w:val="008B20BC"/>
    <w:rsid w:val="008B4756"/>
    <w:rsid w:val="008B47A4"/>
    <w:rsid w:val="008B4A78"/>
    <w:rsid w:val="008B7AB4"/>
    <w:rsid w:val="008C1E49"/>
    <w:rsid w:val="008C1F8F"/>
    <w:rsid w:val="008C31FB"/>
    <w:rsid w:val="008C4EE2"/>
    <w:rsid w:val="008C533E"/>
    <w:rsid w:val="008C5529"/>
    <w:rsid w:val="008C7D91"/>
    <w:rsid w:val="008D047E"/>
    <w:rsid w:val="008D1736"/>
    <w:rsid w:val="008D2DC6"/>
    <w:rsid w:val="008D4A92"/>
    <w:rsid w:val="008D4D4F"/>
    <w:rsid w:val="008D58D6"/>
    <w:rsid w:val="008D592F"/>
    <w:rsid w:val="008D72B4"/>
    <w:rsid w:val="008D7399"/>
    <w:rsid w:val="008D7CFB"/>
    <w:rsid w:val="008E2173"/>
    <w:rsid w:val="008E36FC"/>
    <w:rsid w:val="008E3A07"/>
    <w:rsid w:val="008E44C8"/>
    <w:rsid w:val="008E46F4"/>
    <w:rsid w:val="008E53C7"/>
    <w:rsid w:val="008E552E"/>
    <w:rsid w:val="008F1491"/>
    <w:rsid w:val="008F1608"/>
    <w:rsid w:val="008F22B2"/>
    <w:rsid w:val="008F272A"/>
    <w:rsid w:val="008F2938"/>
    <w:rsid w:val="008F6B69"/>
    <w:rsid w:val="008F6ED5"/>
    <w:rsid w:val="008F7CD9"/>
    <w:rsid w:val="00900F4A"/>
    <w:rsid w:val="00902DDD"/>
    <w:rsid w:val="0090587A"/>
    <w:rsid w:val="00907562"/>
    <w:rsid w:val="00910205"/>
    <w:rsid w:val="0091114F"/>
    <w:rsid w:val="00912038"/>
    <w:rsid w:val="00913F62"/>
    <w:rsid w:val="00914744"/>
    <w:rsid w:val="00914E61"/>
    <w:rsid w:val="00915553"/>
    <w:rsid w:val="00915C51"/>
    <w:rsid w:val="009165FB"/>
    <w:rsid w:val="0092086D"/>
    <w:rsid w:val="00920B70"/>
    <w:rsid w:val="009217B7"/>
    <w:rsid w:val="00922407"/>
    <w:rsid w:val="00922D9D"/>
    <w:rsid w:val="00923D06"/>
    <w:rsid w:val="009263C7"/>
    <w:rsid w:val="00935382"/>
    <w:rsid w:val="009373E4"/>
    <w:rsid w:val="00940F3A"/>
    <w:rsid w:val="0094402D"/>
    <w:rsid w:val="00945394"/>
    <w:rsid w:val="00945BE6"/>
    <w:rsid w:val="0094606D"/>
    <w:rsid w:val="00946E1E"/>
    <w:rsid w:val="00947D1A"/>
    <w:rsid w:val="009506B9"/>
    <w:rsid w:val="00950AFB"/>
    <w:rsid w:val="0095178E"/>
    <w:rsid w:val="00954B15"/>
    <w:rsid w:val="009557D2"/>
    <w:rsid w:val="0096262B"/>
    <w:rsid w:val="009677D3"/>
    <w:rsid w:val="00967B48"/>
    <w:rsid w:val="00967EE5"/>
    <w:rsid w:val="00971528"/>
    <w:rsid w:val="0097306D"/>
    <w:rsid w:val="00973496"/>
    <w:rsid w:val="00973796"/>
    <w:rsid w:val="0097612B"/>
    <w:rsid w:val="00976CC0"/>
    <w:rsid w:val="009772F5"/>
    <w:rsid w:val="0098019F"/>
    <w:rsid w:val="009816A5"/>
    <w:rsid w:val="009827D2"/>
    <w:rsid w:val="00983524"/>
    <w:rsid w:val="00983715"/>
    <w:rsid w:val="00984422"/>
    <w:rsid w:val="00985473"/>
    <w:rsid w:val="009854BC"/>
    <w:rsid w:val="009855E7"/>
    <w:rsid w:val="00987AA6"/>
    <w:rsid w:val="00990370"/>
    <w:rsid w:val="0099095D"/>
    <w:rsid w:val="00992D5A"/>
    <w:rsid w:val="00992FCD"/>
    <w:rsid w:val="00997B92"/>
    <w:rsid w:val="009A02E2"/>
    <w:rsid w:val="009A14C2"/>
    <w:rsid w:val="009A1556"/>
    <w:rsid w:val="009A3577"/>
    <w:rsid w:val="009A48F3"/>
    <w:rsid w:val="009A5456"/>
    <w:rsid w:val="009A5898"/>
    <w:rsid w:val="009A7732"/>
    <w:rsid w:val="009A7ED3"/>
    <w:rsid w:val="009A7F46"/>
    <w:rsid w:val="009B33A7"/>
    <w:rsid w:val="009B366F"/>
    <w:rsid w:val="009B689F"/>
    <w:rsid w:val="009B7287"/>
    <w:rsid w:val="009C2D52"/>
    <w:rsid w:val="009C34F7"/>
    <w:rsid w:val="009C7718"/>
    <w:rsid w:val="009D0AF2"/>
    <w:rsid w:val="009D1007"/>
    <w:rsid w:val="009D1A91"/>
    <w:rsid w:val="009D2616"/>
    <w:rsid w:val="009D2CD1"/>
    <w:rsid w:val="009D39B6"/>
    <w:rsid w:val="009D5425"/>
    <w:rsid w:val="009D5741"/>
    <w:rsid w:val="009E415B"/>
    <w:rsid w:val="009E68D2"/>
    <w:rsid w:val="009F1702"/>
    <w:rsid w:val="009F2499"/>
    <w:rsid w:val="009F321A"/>
    <w:rsid w:val="009F3778"/>
    <w:rsid w:val="009F502B"/>
    <w:rsid w:val="009F68CA"/>
    <w:rsid w:val="00A006F5"/>
    <w:rsid w:val="00A0151E"/>
    <w:rsid w:val="00A0333E"/>
    <w:rsid w:val="00A056E4"/>
    <w:rsid w:val="00A05F3B"/>
    <w:rsid w:val="00A06DCE"/>
    <w:rsid w:val="00A10D38"/>
    <w:rsid w:val="00A11A5B"/>
    <w:rsid w:val="00A13E66"/>
    <w:rsid w:val="00A143CF"/>
    <w:rsid w:val="00A16FF5"/>
    <w:rsid w:val="00A20BEA"/>
    <w:rsid w:val="00A2370E"/>
    <w:rsid w:val="00A24289"/>
    <w:rsid w:val="00A256D1"/>
    <w:rsid w:val="00A27123"/>
    <w:rsid w:val="00A302A2"/>
    <w:rsid w:val="00A30988"/>
    <w:rsid w:val="00A31B41"/>
    <w:rsid w:val="00A33F83"/>
    <w:rsid w:val="00A3457F"/>
    <w:rsid w:val="00A3567F"/>
    <w:rsid w:val="00A371FE"/>
    <w:rsid w:val="00A37DD1"/>
    <w:rsid w:val="00A40604"/>
    <w:rsid w:val="00A426F9"/>
    <w:rsid w:val="00A458EB"/>
    <w:rsid w:val="00A507F0"/>
    <w:rsid w:val="00A51199"/>
    <w:rsid w:val="00A514E7"/>
    <w:rsid w:val="00A53D3F"/>
    <w:rsid w:val="00A54C67"/>
    <w:rsid w:val="00A54D8D"/>
    <w:rsid w:val="00A55BB9"/>
    <w:rsid w:val="00A5743B"/>
    <w:rsid w:val="00A57AA8"/>
    <w:rsid w:val="00A6057D"/>
    <w:rsid w:val="00A60DD8"/>
    <w:rsid w:val="00A62B1B"/>
    <w:rsid w:val="00A63DA7"/>
    <w:rsid w:val="00A65793"/>
    <w:rsid w:val="00A66501"/>
    <w:rsid w:val="00A67835"/>
    <w:rsid w:val="00A67A09"/>
    <w:rsid w:val="00A70957"/>
    <w:rsid w:val="00A713C0"/>
    <w:rsid w:val="00A77A71"/>
    <w:rsid w:val="00A81857"/>
    <w:rsid w:val="00A82665"/>
    <w:rsid w:val="00A82A06"/>
    <w:rsid w:val="00A85131"/>
    <w:rsid w:val="00A85ABC"/>
    <w:rsid w:val="00A87C18"/>
    <w:rsid w:val="00A9133D"/>
    <w:rsid w:val="00A91CE9"/>
    <w:rsid w:val="00A9303A"/>
    <w:rsid w:val="00A96A70"/>
    <w:rsid w:val="00A96E0D"/>
    <w:rsid w:val="00A96F27"/>
    <w:rsid w:val="00AA0098"/>
    <w:rsid w:val="00AA11C6"/>
    <w:rsid w:val="00AA1904"/>
    <w:rsid w:val="00AA1D37"/>
    <w:rsid w:val="00AA499B"/>
    <w:rsid w:val="00AA6D03"/>
    <w:rsid w:val="00AA7318"/>
    <w:rsid w:val="00AB2690"/>
    <w:rsid w:val="00AB273E"/>
    <w:rsid w:val="00AB284C"/>
    <w:rsid w:val="00AB2B15"/>
    <w:rsid w:val="00AB5495"/>
    <w:rsid w:val="00AB7E69"/>
    <w:rsid w:val="00AB7F64"/>
    <w:rsid w:val="00AC0CB1"/>
    <w:rsid w:val="00AC25A4"/>
    <w:rsid w:val="00AC2C6D"/>
    <w:rsid w:val="00AC2DAE"/>
    <w:rsid w:val="00AC54C1"/>
    <w:rsid w:val="00AC65B0"/>
    <w:rsid w:val="00AC69EB"/>
    <w:rsid w:val="00AD07E9"/>
    <w:rsid w:val="00AD7517"/>
    <w:rsid w:val="00AE0D4E"/>
    <w:rsid w:val="00AE12AF"/>
    <w:rsid w:val="00AE3CA7"/>
    <w:rsid w:val="00AE4867"/>
    <w:rsid w:val="00AE4DD5"/>
    <w:rsid w:val="00AE5580"/>
    <w:rsid w:val="00AE727F"/>
    <w:rsid w:val="00AF2E05"/>
    <w:rsid w:val="00AF3337"/>
    <w:rsid w:val="00AF45C3"/>
    <w:rsid w:val="00AF46F3"/>
    <w:rsid w:val="00AF5344"/>
    <w:rsid w:val="00AF555C"/>
    <w:rsid w:val="00AF57A5"/>
    <w:rsid w:val="00AF678A"/>
    <w:rsid w:val="00B01451"/>
    <w:rsid w:val="00B01910"/>
    <w:rsid w:val="00B03D91"/>
    <w:rsid w:val="00B048BB"/>
    <w:rsid w:val="00B049B8"/>
    <w:rsid w:val="00B0500F"/>
    <w:rsid w:val="00B10CC4"/>
    <w:rsid w:val="00B117FB"/>
    <w:rsid w:val="00B20529"/>
    <w:rsid w:val="00B208E2"/>
    <w:rsid w:val="00B25AB9"/>
    <w:rsid w:val="00B3389F"/>
    <w:rsid w:val="00B349E5"/>
    <w:rsid w:val="00B3573D"/>
    <w:rsid w:val="00B36631"/>
    <w:rsid w:val="00B367AD"/>
    <w:rsid w:val="00B4262E"/>
    <w:rsid w:val="00B42C11"/>
    <w:rsid w:val="00B42EB1"/>
    <w:rsid w:val="00B437C5"/>
    <w:rsid w:val="00B439C6"/>
    <w:rsid w:val="00B46E74"/>
    <w:rsid w:val="00B47580"/>
    <w:rsid w:val="00B5269E"/>
    <w:rsid w:val="00B53021"/>
    <w:rsid w:val="00B564DF"/>
    <w:rsid w:val="00B56DDC"/>
    <w:rsid w:val="00B579F2"/>
    <w:rsid w:val="00B57D19"/>
    <w:rsid w:val="00B6073F"/>
    <w:rsid w:val="00B61DAB"/>
    <w:rsid w:val="00B61FEA"/>
    <w:rsid w:val="00B62659"/>
    <w:rsid w:val="00B63F74"/>
    <w:rsid w:val="00B64CB5"/>
    <w:rsid w:val="00B651FF"/>
    <w:rsid w:val="00B670DE"/>
    <w:rsid w:val="00B6718B"/>
    <w:rsid w:val="00B70018"/>
    <w:rsid w:val="00B713C9"/>
    <w:rsid w:val="00B73224"/>
    <w:rsid w:val="00B73A85"/>
    <w:rsid w:val="00B73DD6"/>
    <w:rsid w:val="00B77769"/>
    <w:rsid w:val="00B80CE6"/>
    <w:rsid w:val="00B828F3"/>
    <w:rsid w:val="00B82919"/>
    <w:rsid w:val="00B829F5"/>
    <w:rsid w:val="00B83005"/>
    <w:rsid w:val="00B835FF"/>
    <w:rsid w:val="00B83B88"/>
    <w:rsid w:val="00B926EA"/>
    <w:rsid w:val="00B93567"/>
    <w:rsid w:val="00B94343"/>
    <w:rsid w:val="00BA1324"/>
    <w:rsid w:val="00BA3906"/>
    <w:rsid w:val="00BA7EB9"/>
    <w:rsid w:val="00BB09CA"/>
    <w:rsid w:val="00BB3096"/>
    <w:rsid w:val="00BB4ABD"/>
    <w:rsid w:val="00BB4BEA"/>
    <w:rsid w:val="00BB6934"/>
    <w:rsid w:val="00BB754D"/>
    <w:rsid w:val="00BB7B1F"/>
    <w:rsid w:val="00BC05A7"/>
    <w:rsid w:val="00BC0A2F"/>
    <w:rsid w:val="00BC315F"/>
    <w:rsid w:val="00BC3363"/>
    <w:rsid w:val="00BC3B4F"/>
    <w:rsid w:val="00BC3BA2"/>
    <w:rsid w:val="00BC4835"/>
    <w:rsid w:val="00BC5ABD"/>
    <w:rsid w:val="00BC6D89"/>
    <w:rsid w:val="00BD3EA1"/>
    <w:rsid w:val="00BD5F44"/>
    <w:rsid w:val="00BD7049"/>
    <w:rsid w:val="00BD7095"/>
    <w:rsid w:val="00BD763C"/>
    <w:rsid w:val="00BD794E"/>
    <w:rsid w:val="00BD7C31"/>
    <w:rsid w:val="00BE1E24"/>
    <w:rsid w:val="00BE31B7"/>
    <w:rsid w:val="00BE32BA"/>
    <w:rsid w:val="00BE40A9"/>
    <w:rsid w:val="00BE6371"/>
    <w:rsid w:val="00BE66A0"/>
    <w:rsid w:val="00BF14A6"/>
    <w:rsid w:val="00BF1AC6"/>
    <w:rsid w:val="00BF2810"/>
    <w:rsid w:val="00BF2C59"/>
    <w:rsid w:val="00BF2D87"/>
    <w:rsid w:val="00BF52FB"/>
    <w:rsid w:val="00BF5774"/>
    <w:rsid w:val="00BF653C"/>
    <w:rsid w:val="00BF72A5"/>
    <w:rsid w:val="00BF75B4"/>
    <w:rsid w:val="00BF7652"/>
    <w:rsid w:val="00C0077F"/>
    <w:rsid w:val="00C0227D"/>
    <w:rsid w:val="00C035E5"/>
    <w:rsid w:val="00C066E8"/>
    <w:rsid w:val="00C06E97"/>
    <w:rsid w:val="00C10446"/>
    <w:rsid w:val="00C114F5"/>
    <w:rsid w:val="00C12B2A"/>
    <w:rsid w:val="00C16659"/>
    <w:rsid w:val="00C17160"/>
    <w:rsid w:val="00C20D33"/>
    <w:rsid w:val="00C21E68"/>
    <w:rsid w:val="00C254AA"/>
    <w:rsid w:val="00C25BF1"/>
    <w:rsid w:val="00C25F0F"/>
    <w:rsid w:val="00C27B71"/>
    <w:rsid w:val="00C32DB2"/>
    <w:rsid w:val="00C334DC"/>
    <w:rsid w:val="00C3605F"/>
    <w:rsid w:val="00C36E63"/>
    <w:rsid w:val="00C41299"/>
    <w:rsid w:val="00C421FE"/>
    <w:rsid w:val="00C44A65"/>
    <w:rsid w:val="00C44FA9"/>
    <w:rsid w:val="00C47F5C"/>
    <w:rsid w:val="00C54872"/>
    <w:rsid w:val="00C54A69"/>
    <w:rsid w:val="00C54AE5"/>
    <w:rsid w:val="00C5574C"/>
    <w:rsid w:val="00C5610A"/>
    <w:rsid w:val="00C60D93"/>
    <w:rsid w:val="00C6375D"/>
    <w:rsid w:val="00C64258"/>
    <w:rsid w:val="00C64790"/>
    <w:rsid w:val="00C64D29"/>
    <w:rsid w:val="00C65B04"/>
    <w:rsid w:val="00C6607F"/>
    <w:rsid w:val="00C66893"/>
    <w:rsid w:val="00C66AE5"/>
    <w:rsid w:val="00C673B4"/>
    <w:rsid w:val="00C67473"/>
    <w:rsid w:val="00C67BB5"/>
    <w:rsid w:val="00C71687"/>
    <w:rsid w:val="00C71694"/>
    <w:rsid w:val="00C719DC"/>
    <w:rsid w:val="00C71E9C"/>
    <w:rsid w:val="00C72B41"/>
    <w:rsid w:val="00C73A8E"/>
    <w:rsid w:val="00C73D3D"/>
    <w:rsid w:val="00C74F94"/>
    <w:rsid w:val="00C74FDE"/>
    <w:rsid w:val="00C75ADE"/>
    <w:rsid w:val="00C77ABA"/>
    <w:rsid w:val="00C808B0"/>
    <w:rsid w:val="00C80DD2"/>
    <w:rsid w:val="00C80F06"/>
    <w:rsid w:val="00C81EDC"/>
    <w:rsid w:val="00C820B5"/>
    <w:rsid w:val="00C82E06"/>
    <w:rsid w:val="00C82F6D"/>
    <w:rsid w:val="00C839E6"/>
    <w:rsid w:val="00C840EB"/>
    <w:rsid w:val="00C8555C"/>
    <w:rsid w:val="00C855C6"/>
    <w:rsid w:val="00C86448"/>
    <w:rsid w:val="00C8787F"/>
    <w:rsid w:val="00C90AD3"/>
    <w:rsid w:val="00C927CF"/>
    <w:rsid w:val="00C933EB"/>
    <w:rsid w:val="00C93946"/>
    <w:rsid w:val="00C93B26"/>
    <w:rsid w:val="00C93C7A"/>
    <w:rsid w:val="00C95453"/>
    <w:rsid w:val="00C95906"/>
    <w:rsid w:val="00C97C51"/>
    <w:rsid w:val="00CA2194"/>
    <w:rsid w:val="00CA2607"/>
    <w:rsid w:val="00CA2890"/>
    <w:rsid w:val="00CA37DD"/>
    <w:rsid w:val="00CA534A"/>
    <w:rsid w:val="00CA5DBD"/>
    <w:rsid w:val="00CB1F52"/>
    <w:rsid w:val="00CB21A1"/>
    <w:rsid w:val="00CB2530"/>
    <w:rsid w:val="00CB352E"/>
    <w:rsid w:val="00CB415F"/>
    <w:rsid w:val="00CC0E0E"/>
    <w:rsid w:val="00CC1F30"/>
    <w:rsid w:val="00CC3C09"/>
    <w:rsid w:val="00CC4C9F"/>
    <w:rsid w:val="00CC7D4D"/>
    <w:rsid w:val="00CD1186"/>
    <w:rsid w:val="00CD19E6"/>
    <w:rsid w:val="00CD490C"/>
    <w:rsid w:val="00CD4B3D"/>
    <w:rsid w:val="00CD4CBC"/>
    <w:rsid w:val="00CD51BA"/>
    <w:rsid w:val="00CE240C"/>
    <w:rsid w:val="00CE27BF"/>
    <w:rsid w:val="00CE6E91"/>
    <w:rsid w:val="00CE7C4E"/>
    <w:rsid w:val="00CF0298"/>
    <w:rsid w:val="00CF1609"/>
    <w:rsid w:val="00CF1E72"/>
    <w:rsid w:val="00CF57C4"/>
    <w:rsid w:val="00CF72AD"/>
    <w:rsid w:val="00CF730D"/>
    <w:rsid w:val="00D01B5D"/>
    <w:rsid w:val="00D05B8F"/>
    <w:rsid w:val="00D072F0"/>
    <w:rsid w:val="00D077D4"/>
    <w:rsid w:val="00D10D61"/>
    <w:rsid w:val="00D11026"/>
    <w:rsid w:val="00D11196"/>
    <w:rsid w:val="00D137FB"/>
    <w:rsid w:val="00D1499E"/>
    <w:rsid w:val="00D1633F"/>
    <w:rsid w:val="00D168C0"/>
    <w:rsid w:val="00D16A6D"/>
    <w:rsid w:val="00D21CD3"/>
    <w:rsid w:val="00D24A49"/>
    <w:rsid w:val="00D25D66"/>
    <w:rsid w:val="00D2730F"/>
    <w:rsid w:val="00D313BC"/>
    <w:rsid w:val="00D321CA"/>
    <w:rsid w:val="00D32E12"/>
    <w:rsid w:val="00D32E59"/>
    <w:rsid w:val="00D34401"/>
    <w:rsid w:val="00D362D8"/>
    <w:rsid w:val="00D363D9"/>
    <w:rsid w:val="00D41C19"/>
    <w:rsid w:val="00D4525B"/>
    <w:rsid w:val="00D50947"/>
    <w:rsid w:val="00D5264A"/>
    <w:rsid w:val="00D5369B"/>
    <w:rsid w:val="00D554E8"/>
    <w:rsid w:val="00D55C44"/>
    <w:rsid w:val="00D576B9"/>
    <w:rsid w:val="00D57D7A"/>
    <w:rsid w:val="00D60280"/>
    <w:rsid w:val="00D60570"/>
    <w:rsid w:val="00D631EE"/>
    <w:rsid w:val="00D657EB"/>
    <w:rsid w:val="00D65982"/>
    <w:rsid w:val="00D65FEC"/>
    <w:rsid w:val="00D6773C"/>
    <w:rsid w:val="00D73A77"/>
    <w:rsid w:val="00D73DED"/>
    <w:rsid w:val="00D8051C"/>
    <w:rsid w:val="00D825F0"/>
    <w:rsid w:val="00D82A38"/>
    <w:rsid w:val="00D84957"/>
    <w:rsid w:val="00D900FF"/>
    <w:rsid w:val="00D9023D"/>
    <w:rsid w:val="00D907F8"/>
    <w:rsid w:val="00D91922"/>
    <w:rsid w:val="00D938F0"/>
    <w:rsid w:val="00D944E9"/>
    <w:rsid w:val="00D9714C"/>
    <w:rsid w:val="00D97B96"/>
    <w:rsid w:val="00D97CEA"/>
    <w:rsid w:val="00DA3184"/>
    <w:rsid w:val="00DA5190"/>
    <w:rsid w:val="00DA5450"/>
    <w:rsid w:val="00DA7053"/>
    <w:rsid w:val="00DB13A3"/>
    <w:rsid w:val="00DB48BF"/>
    <w:rsid w:val="00DC082B"/>
    <w:rsid w:val="00DC0F57"/>
    <w:rsid w:val="00DC1950"/>
    <w:rsid w:val="00DC26B8"/>
    <w:rsid w:val="00DC2EAE"/>
    <w:rsid w:val="00DC3FE0"/>
    <w:rsid w:val="00DC6D6E"/>
    <w:rsid w:val="00DC7FF8"/>
    <w:rsid w:val="00DD0D14"/>
    <w:rsid w:val="00DD2C2E"/>
    <w:rsid w:val="00DD2FF4"/>
    <w:rsid w:val="00DD4069"/>
    <w:rsid w:val="00DD5142"/>
    <w:rsid w:val="00DD6103"/>
    <w:rsid w:val="00DD69B7"/>
    <w:rsid w:val="00DE419C"/>
    <w:rsid w:val="00DE5E97"/>
    <w:rsid w:val="00DE74C2"/>
    <w:rsid w:val="00DE7A5A"/>
    <w:rsid w:val="00DF1ECE"/>
    <w:rsid w:val="00DF24A2"/>
    <w:rsid w:val="00DF4BDE"/>
    <w:rsid w:val="00DF6435"/>
    <w:rsid w:val="00DF7738"/>
    <w:rsid w:val="00E04270"/>
    <w:rsid w:val="00E066F2"/>
    <w:rsid w:val="00E0677D"/>
    <w:rsid w:val="00E13A6A"/>
    <w:rsid w:val="00E1433B"/>
    <w:rsid w:val="00E1459D"/>
    <w:rsid w:val="00E16415"/>
    <w:rsid w:val="00E1784B"/>
    <w:rsid w:val="00E17EDF"/>
    <w:rsid w:val="00E20C5C"/>
    <w:rsid w:val="00E21AE3"/>
    <w:rsid w:val="00E2232B"/>
    <w:rsid w:val="00E23676"/>
    <w:rsid w:val="00E245F7"/>
    <w:rsid w:val="00E25947"/>
    <w:rsid w:val="00E31AC3"/>
    <w:rsid w:val="00E32CDD"/>
    <w:rsid w:val="00E3312F"/>
    <w:rsid w:val="00E361C5"/>
    <w:rsid w:val="00E36B4C"/>
    <w:rsid w:val="00E40D85"/>
    <w:rsid w:val="00E41C29"/>
    <w:rsid w:val="00E4310E"/>
    <w:rsid w:val="00E45C9A"/>
    <w:rsid w:val="00E46759"/>
    <w:rsid w:val="00E46CD8"/>
    <w:rsid w:val="00E47B49"/>
    <w:rsid w:val="00E47F02"/>
    <w:rsid w:val="00E50596"/>
    <w:rsid w:val="00E50D83"/>
    <w:rsid w:val="00E53D92"/>
    <w:rsid w:val="00E57923"/>
    <w:rsid w:val="00E60679"/>
    <w:rsid w:val="00E6177F"/>
    <w:rsid w:val="00E61C7A"/>
    <w:rsid w:val="00E63E8F"/>
    <w:rsid w:val="00E6720B"/>
    <w:rsid w:val="00E7122F"/>
    <w:rsid w:val="00E734E0"/>
    <w:rsid w:val="00E73DAC"/>
    <w:rsid w:val="00E73EA7"/>
    <w:rsid w:val="00E74A63"/>
    <w:rsid w:val="00E75C33"/>
    <w:rsid w:val="00E76DD7"/>
    <w:rsid w:val="00E774D4"/>
    <w:rsid w:val="00E774F6"/>
    <w:rsid w:val="00E77918"/>
    <w:rsid w:val="00E805A3"/>
    <w:rsid w:val="00E806F9"/>
    <w:rsid w:val="00E8381D"/>
    <w:rsid w:val="00E83B03"/>
    <w:rsid w:val="00E83F7C"/>
    <w:rsid w:val="00E86C5E"/>
    <w:rsid w:val="00E90679"/>
    <w:rsid w:val="00E906F9"/>
    <w:rsid w:val="00E90E01"/>
    <w:rsid w:val="00E91787"/>
    <w:rsid w:val="00E92384"/>
    <w:rsid w:val="00E92A33"/>
    <w:rsid w:val="00E93A5A"/>
    <w:rsid w:val="00E9452E"/>
    <w:rsid w:val="00E9647A"/>
    <w:rsid w:val="00EA0480"/>
    <w:rsid w:val="00EA07B0"/>
    <w:rsid w:val="00EA0C77"/>
    <w:rsid w:val="00EA25B0"/>
    <w:rsid w:val="00EA25C2"/>
    <w:rsid w:val="00EA3436"/>
    <w:rsid w:val="00EA5620"/>
    <w:rsid w:val="00EA5753"/>
    <w:rsid w:val="00EA59D4"/>
    <w:rsid w:val="00EA5C16"/>
    <w:rsid w:val="00EB461F"/>
    <w:rsid w:val="00EB4927"/>
    <w:rsid w:val="00EB56C2"/>
    <w:rsid w:val="00EB5B17"/>
    <w:rsid w:val="00EB61BF"/>
    <w:rsid w:val="00EB700B"/>
    <w:rsid w:val="00EC09F4"/>
    <w:rsid w:val="00EC1DC9"/>
    <w:rsid w:val="00EC2559"/>
    <w:rsid w:val="00EC2953"/>
    <w:rsid w:val="00EC576F"/>
    <w:rsid w:val="00EC6933"/>
    <w:rsid w:val="00EC7787"/>
    <w:rsid w:val="00ED115E"/>
    <w:rsid w:val="00ED42A4"/>
    <w:rsid w:val="00ED4D84"/>
    <w:rsid w:val="00ED5603"/>
    <w:rsid w:val="00EE0DD2"/>
    <w:rsid w:val="00EE1E5A"/>
    <w:rsid w:val="00EE269F"/>
    <w:rsid w:val="00EE2C1B"/>
    <w:rsid w:val="00EE2FBC"/>
    <w:rsid w:val="00EE3DA0"/>
    <w:rsid w:val="00EE436A"/>
    <w:rsid w:val="00EE4685"/>
    <w:rsid w:val="00EE7BD1"/>
    <w:rsid w:val="00EF0120"/>
    <w:rsid w:val="00EF302A"/>
    <w:rsid w:val="00EF4FAD"/>
    <w:rsid w:val="00EF547E"/>
    <w:rsid w:val="00EF5C56"/>
    <w:rsid w:val="00EF70DB"/>
    <w:rsid w:val="00EF7337"/>
    <w:rsid w:val="00F00C67"/>
    <w:rsid w:val="00F05CB1"/>
    <w:rsid w:val="00F06219"/>
    <w:rsid w:val="00F07F0F"/>
    <w:rsid w:val="00F10E91"/>
    <w:rsid w:val="00F14B7B"/>
    <w:rsid w:val="00F161F1"/>
    <w:rsid w:val="00F2085F"/>
    <w:rsid w:val="00F2449B"/>
    <w:rsid w:val="00F3019C"/>
    <w:rsid w:val="00F32F03"/>
    <w:rsid w:val="00F34591"/>
    <w:rsid w:val="00F34B69"/>
    <w:rsid w:val="00F3656B"/>
    <w:rsid w:val="00F42335"/>
    <w:rsid w:val="00F44705"/>
    <w:rsid w:val="00F447F5"/>
    <w:rsid w:val="00F44B6D"/>
    <w:rsid w:val="00F44E45"/>
    <w:rsid w:val="00F46336"/>
    <w:rsid w:val="00F4698A"/>
    <w:rsid w:val="00F5066C"/>
    <w:rsid w:val="00F5091C"/>
    <w:rsid w:val="00F51B68"/>
    <w:rsid w:val="00F54131"/>
    <w:rsid w:val="00F54EC1"/>
    <w:rsid w:val="00F56B0B"/>
    <w:rsid w:val="00F57651"/>
    <w:rsid w:val="00F62A88"/>
    <w:rsid w:val="00F705B4"/>
    <w:rsid w:val="00F718B5"/>
    <w:rsid w:val="00F71E6D"/>
    <w:rsid w:val="00F73602"/>
    <w:rsid w:val="00F73856"/>
    <w:rsid w:val="00F7392C"/>
    <w:rsid w:val="00F73C2F"/>
    <w:rsid w:val="00F74024"/>
    <w:rsid w:val="00F74BEE"/>
    <w:rsid w:val="00F7550E"/>
    <w:rsid w:val="00F77B11"/>
    <w:rsid w:val="00F82322"/>
    <w:rsid w:val="00F83190"/>
    <w:rsid w:val="00F85A77"/>
    <w:rsid w:val="00F85F59"/>
    <w:rsid w:val="00F868EE"/>
    <w:rsid w:val="00F95295"/>
    <w:rsid w:val="00F9545D"/>
    <w:rsid w:val="00FA1331"/>
    <w:rsid w:val="00FA2375"/>
    <w:rsid w:val="00FA2F9B"/>
    <w:rsid w:val="00FA468B"/>
    <w:rsid w:val="00FA5A29"/>
    <w:rsid w:val="00FA6D1E"/>
    <w:rsid w:val="00FA7343"/>
    <w:rsid w:val="00FB0421"/>
    <w:rsid w:val="00FB2824"/>
    <w:rsid w:val="00FB3D6D"/>
    <w:rsid w:val="00FB3E51"/>
    <w:rsid w:val="00FB3FE5"/>
    <w:rsid w:val="00FB433A"/>
    <w:rsid w:val="00FB79A7"/>
    <w:rsid w:val="00FC066A"/>
    <w:rsid w:val="00FC2EDB"/>
    <w:rsid w:val="00FC33B6"/>
    <w:rsid w:val="00FC3CD0"/>
    <w:rsid w:val="00FC5855"/>
    <w:rsid w:val="00FD2B03"/>
    <w:rsid w:val="00FD33C7"/>
    <w:rsid w:val="00FD4983"/>
    <w:rsid w:val="00FE11AC"/>
    <w:rsid w:val="00FE1427"/>
    <w:rsid w:val="00FE3BF8"/>
    <w:rsid w:val="00FE5DD3"/>
    <w:rsid w:val="00FE7513"/>
    <w:rsid w:val="00FE79F0"/>
    <w:rsid w:val="00FF447A"/>
    <w:rsid w:val="00FF47A1"/>
    <w:rsid w:val="00FF5B66"/>
    <w:rsid w:val="2D8B7B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b/>
      <w:bCs/>
      <w:kern w:val="0"/>
      <w:sz w:val="24"/>
    </w:rPr>
  </w:style>
  <w:style w:type="paragraph" w:styleId="3">
    <w:name w:val="heading 3"/>
    <w:basedOn w:val="1"/>
    <w:qFormat/>
    <w:uiPriority w:val="0"/>
    <w:pPr>
      <w:widowControl/>
      <w:spacing w:before="100" w:beforeAutospacing="1" w:after="100" w:afterAutospacing="1"/>
      <w:jc w:val="left"/>
      <w:outlineLvl w:val="2"/>
    </w:pPr>
    <w:rPr>
      <w:rFonts w:ascii="宋体" w:hAnsi="宋体" w:cs="宋体"/>
      <w:b/>
      <w:bCs/>
      <w:kern w:val="0"/>
      <w:sz w:val="24"/>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4">
    <w:name w:val="Balloon Text"/>
    <w:basedOn w:val="1"/>
    <w:semiHidden/>
    <w:uiPriority w:val="0"/>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 Char"/>
    <w:basedOn w:val="1"/>
    <w:uiPriority w:val="0"/>
  </w:style>
  <w:style w:type="character" w:customStyle="1" w:styleId="14">
    <w:name w:val=" Char Char"/>
    <w:link w:val="5"/>
    <w:uiPriority w:val="99"/>
    <w:rPr>
      <w:kern w:val="2"/>
      <w:sz w:val="18"/>
      <w:szCs w:val="18"/>
    </w:rPr>
  </w:style>
  <w:style w:type="character" w:customStyle="1" w:styleId="15">
    <w:name w:val="headline-content2"/>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309</Words>
  <Characters>1767</Characters>
  <Lines>14</Lines>
  <Paragraphs>4</Paragraphs>
  <TotalTime>0</TotalTime>
  <ScaleCrop>false</ScaleCrop>
  <LinksUpToDate>false</LinksUpToDate>
  <CharactersWithSpaces>2072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2012-04-23T05:49:00Z</dcterms:created>
  <dc:creator>wj</dc:creator>
  <cp:lastModifiedBy>xxzx</cp:lastModifiedBy>
  <cp:lastPrinted>2012-04-21T06:53:00Z</cp:lastPrinted>
  <dcterms:modified xsi:type="dcterms:W3CDTF">2021-04-29T09:51:18Z</dcterms:modified>
  <dc:title>放射卫生技术服务机构资质审定工作程序</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