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1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093"/>
        <w:gridCol w:w="1092"/>
        <w:gridCol w:w="568"/>
        <w:gridCol w:w="859"/>
        <w:gridCol w:w="464"/>
        <w:gridCol w:w="477"/>
        <w:gridCol w:w="522"/>
        <w:gridCol w:w="511"/>
        <w:gridCol w:w="1184"/>
        <w:gridCol w:w="1265"/>
        <w:gridCol w:w="1098"/>
        <w:gridCol w:w="1333"/>
        <w:gridCol w:w="2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附件1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内设机构名称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5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岗位基本条件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族别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传防所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性艾中心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环地所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慢病所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消感中心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结麻中心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免规所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应急鼠防所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职辐所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寄布所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卫检中心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公共卫生与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预防医学、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卫生检验、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专项招聘高校毕业生(赴内地招聘)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信息服务中心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1002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应急鼠防所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寄布所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1003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动物医学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自治区疾控中心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职辐所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1004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周岁以下、硕士研究生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全日制本科及以上学历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4D"/>
    <w:rsid w:val="00224281"/>
    <w:rsid w:val="00643CC4"/>
    <w:rsid w:val="0088354D"/>
    <w:rsid w:val="009E3CFD"/>
    <w:rsid w:val="2E355EAA"/>
    <w:rsid w:val="7F3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2020-06-28T13:39:00Z</dcterms:created>
  <dc:creator>王 丹阳</dc:creator>
  <cp:lastModifiedBy>孙丽伟</cp:lastModifiedBy>
  <cp:lastPrinted>2020-07-01T00:50:19Z</cp:lastPrinted>
  <dcterms:modified xsi:type="dcterms:W3CDTF">2020-07-01T00:50:24Z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